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A6B76">
      <w:pPr>
        <w:spacing w:before="380" w:after="140" w:line="288" w:lineRule="auto"/>
        <w:jc w:val="center"/>
        <w:outlineLvl w:val="0"/>
        <w:rPr>
          <w:rFonts w:hint="default" w:ascii="Times New Roman" w:hAnsi="Times New Roman" w:eastAsia="宋体" w:cs="Times New Roman"/>
        </w:rPr>
      </w:pPr>
      <w:bookmarkStart w:id="0" w:name="heading_0"/>
      <w:r>
        <w:rPr>
          <w:rFonts w:hint="default" w:ascii="Times New Roman" w:hAnsi="Times New Roman" w:eastAsia="宋体" w:cs="Times New Roman"/>
          <w:b/>
          <w:sz w:val="36"/>
        </w:rPr>
        <w:t>广州市白云区第三人民医院医院存储扩容</w:t>
      </w:r>
      <w:r>
        <w:rPr>
          <w:rFonts w:hint="eastAsia" w:ascii="Times New Roman" w:hAnsi="Times New Roman" w:eastAsia="宋体" w:cs="Times New Roman"/>
          <w:b/>
          <w:sz w:val="36"/>
          <w:lang w:val="en-US" w:eastAsia="zh-CN"/>
        </w:rPr>
        <w:t>服务项目</w:t>
      </w:r>
      <w:r>
        <w:rPr>
          <w:rFonts w:hint="default" w:ascii="Times New Roman" w:hAnsi="Times New Roman" w:eastAsia="宋体" w:cs="Times New Roman"/>
          <w:b/>
          <w:sz w:val="36"/>
        </w:rPr>
        <w:t>采购需求书</w:t>
      </w:r>
      <w:bookmarkEnd w:id="0"/>
    </w:p>
    <w:p w14:paraId="1B366811">
      <w:pPr>
        <w:spacing w:before="320" w:after="120" w:line="288" w:lineRule="auto"/>
        <w:jc w:val="left"/>
        <w:outlineLvl w:val="1"/>
        <w:rPr>
          <w:rFonts w:hint="default" w:ascii="Times New Roman" w:hAnsi="Times New Roman" w:eastAsia="宋体" w:cs="Times New Roman"/>
        </w:rPr>
      </w:pPr>
      <w:bookmarkStart w:id="1" w:name="heading_1"/>
      <w:r>
        <w:rPr>
          <w:rFonts w:hint="default" w:ascii="Times New Roman" w:hAnsi="Times New Roman" w:eastAsia="宋体" w:cs="Times New Roman"/>
          <w:b/>
          <w:sz w:val="32"/>
        </w:rPr>
        <w:t>一、项目背景</w:t>
      </w:r>
      <w:bookmarkEnd w:id="1"/>
    </w:p>
    <w:p w14:paraId="7A3791CE">
      <w:pPr>
        <w:spacing w:before="120" w:after="120" w:line="360" w:lineRule="auto"/>
        <w:ind w:firstLine="56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8"/>
          <w:szCs w:val="28"/>
        </w:rPr>
        <w:t>为满足总院和分院未来业务发展及数据存储需求，需对总院和分院存储系统</w:t>
      </w:r>
      <w:r>
        <w:rPr>
          <w:rFonts w:hint="eastAsia" w:ascii="Times New Roman" w:hAnsi="Times New Roman" w:eastAsia="宋体" w:cs="Times New Roman"/>
          <w:sz w:val="28"/>
          <w:szCs w:val="28"/>
          <w:lang w:val="en-US" w:eastAsia="zh-CN"/>
        </w:rPr>
        <w:t>提供</w:t>
      </w:r>
      <w:r>
        <w:rPr>
          <w:rFonts w:hint="default" w:ascii="Times New Roman" w:hAnsi="Times New Roman" w:eastAsia="宋体" w:cs="Times New Roman"/>
          <w:sz w:val="28"/>
          <w:szCs w:val="28"/>
        </w:rPr>
        <w:t>扩容</w:t>
      </w:r>
      <w:r>
        <w:rPr>
          <w:rFonts w:hint="eastAsia" w:ascii="Times New Roman" w:hAnsi="Times New Roman" w:eastAsia="宋体" w:cs="Times New Roman"/>
          <w:sz w:val="28"/>
          <w:szCs w:val="28"/>
          <w:lang w:val="en-US" w:eastAsia="zh-CN"/>
        </w:rPr>
        <w:t>服务</w:t>
      </w:r>
      <w:r>
        <w:rPr>
          <w:rFonts w:hint="default" w:ascii="Times New Roman" w:hAnsi="Times New Roman" w:eastAsia="宋体" w:cs="Times New Roman"/>
          <w:sz w:val="28"/>
          <w:szCs w:val="28"/>
        </w:rPr>
        <w:t>，以保障数据存储的安全性、可靠性及业务连续性。</w:t>
      </w:r>
    </w:p>
    <w:p w14:paraId="25EAF53F">
      <w:pPr>
        <w:spacing w:before="320" w:after="120" w:line="288" w:lineRule="auto"/>
        <w:jc w:val="left"/>
        <w:outlineLvl w:val="1"/>
        <w:rPr>
          <w:rFonts w:hint="default" w:ascii="Times New Roman" w:hAnsi="Times New Roman" w:eastAsia="宋体" w:cs="Times New Roman"/>
        </w:rPr>
      </w:pPr>
      <w:bookmarkStart w:id="2" w:name="heading_2"/>
      <w:r>
        <w:rPr>
          <w:rFonts w:hint="default" w:ascii="Times New Roman" w:hAnsi="Times New Roman" w:eastAsia="宋体" w:cs="Times New Roman"/>
          <w:b/>
          <w:sz w:val="32"/>
        </w:rPr>
        <w:t>二、采购内容</w:t>
      </w:r>
      <w:bookmarkEnd w:id="2"/>
    </w:p>
    <w:p w14:paraId="6EB2E9C8">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总院和分院存储扩容相关硬件设备及配套技术服务，包括硬盘扩展柜、硬盘、存储服务器及数据扩容和实施服务等。</w:t>
      </w:r>
    </w:p>
    <w:p w14:paraId="74AF846A">
      <w:pPr>
        <w:spacing w:before="320" w:after="120" w:line="288" w:lineRule="auto"/>
        <w:jc w:val="left"/>
        <w:outlineLvl w:val="1"/>
        <w:rPr>
          <w:rFonts w:hint="default" w:ascii="Times New Roman" w:hAnsi="Times New Roman" w:eastAsia="宋体" w:cs="Times New Roman"/>
          <w:b/>
          <w:sz w:val="32"/>
        </w:rPr>
      </w:pPr>
      <w:bookmarkStart w:id="3" w:name="heading_3"/>
      <w:r>
        <w:rPr>
          <w:rFonts w:hint="default" w:ascii="Times New Roman" w:hAnsi="Times New Roman" w:eastAsia="宋体" w:cs="Times New Roman"/>
          <w:b/>
          <w:sz w:val="32"/>
        </w:rPr>
        <w:t>三、技术需求</w:t>
      </w:r>
      <w:bookmarkEnd w:id="3"/>
    </w:p>
    <w:p w14:paraId="630BBCBB">
      <w:pPr>
        <w:pStyle w:val="2"/>
        <w:ind w:firstLine="560" w:firstLineChars="200"/>
        <w:rPr>
          <w:rFonts w:hint="default" w:eastAsiaTheme="minorEastAsia"/>
          <w:sz w:val="28"/>
          <w:szCs w:val="28"/>
          <w:lang w:val="en-US" w:eastAsia="zh-CN"/>
        </w:rPr>
      </w:pPr>
      <w:r>
        <w:rPr>
          <w:rFonts w:hint="eastAsia"/>
          <w:sz w:val="28"/>
          <w:szCs w:val="28"/>
          <w:lang w:val="en-US" w:eastAsia="zh-CN"/>
        </w:rPr>
        <w:t>其中，标★项要求为不可偏离项，不满足或负偏离供应商的投标将被直接否决。</w:t>
      </w:r>
    </w:p>
    <w:p w14:paraId="1A66C36D">
      <w:pPr>
        <w:spacing w:before="300" w:after="120" w:line="288" w:lineRule="auto"/>
        <w:jc w:val="left"/>
        <w:outlineLvl w:val="2"/>
        <w:rPr>
          <w:rFonts w:hint="default" w:ascii="Times New Roman" w:hAnsi="Times New Roman" w:eastAsia="宋体" w:cs="Times New Roman"/>
        </w:rPr>
      </w:pPr>
      <w:bookmarkStart w:id="4" w:name="heading_4"/>
      <w:r>
        <w:rPr>
          <w:rFonts w:hint="default" w:ascii="Times New Roman" w:hAnsi="Times New Roman" w:eastAsia="宋体" w:cs="Times New Roman"/>
          <w:b/>
          <w:sz w:val="30"/>
        </w:rPr>
        <w:t>（一）总院存储扩容技术需求</w:t>
      </w:r>
      <w:bookmarkEnd w:id="4"/>
    </w:p>
    <w:p w14:paraId="53BE402B">
      <w:pPr>
        <w:spacing w:before="120" w:after="120" w:line="288" w:lineRule="auto"/>
        <w:jc w:val="left"/>
        <w:outlineLvl w:val="3"/>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1、容量需求</w:t>
      </w:r>
    </w:p>
    <w:p w14:paraId="1FF61A1C">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bCs/>
          <w:iCs/>
          <w:color w:val="000000"/>
          <w:sz w:val="28"/>
          <w:szCs w:val="28"/>
        </w:rPr>
        <w:t>★</w:t>
      </w:r>
      <w:r>
        <w:rPr>
          <w:rFonts w:hint="default" w:ascii="Times New Roman" w:hAnsi="Times New Roman" w:eastAsia="宋体" w:cs="Times New Roman"/>
          <w:sz w:val="28"/>
          <w:szCs w:val="28"/>
        </w:rPr>
        <w:t>新增存储空间需满足未来3年数据增长，至少新增</w:t>
      </w:r>
      <w:r>
        <w:rPr>
          <w:rFonts w:hint="eastAsia" w:ascii="Times New Roman" w:hAnsi="Times New Roman" w:eastAsia="宋体" w:cs="Times New Roman"/>
          <w:sz w:val="28"/>
          <w:szCs w:val="28"/>
          <w:lang w:val="en-US" w:eastAsia="zh-CN"/>
        </w:rPr>
        <w:t>约</w:t>
      </w:r>
      <w:r>
        <w:rPr>
          <w:rFonts w:hint="default" w:ascii="Times New Roman" w:hAnsi="Times New Roman" w:eastAsia="宋体" w:cs="Times New Roman"/>
          <w:sz w:val="28"/>
          <w:szCs w:val="28"/>
        </w:rPr>
        <w:t>75TB可用空间。</w:t>
      </w:r>
    </w:p>
    <w:p w14:paraId="73F9763A">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default" w:ascii="Times New Roman" w:hAnsi="Times New Roman" w:eastAsia="宋体" w:cs="Times New Roman"/>
          <w:bCs/>
          <w:iCs/>
          <w:color w:val="000000"/>
          <w:sz w:val="28"/>
          <w:szCs w:val="28"/>
        </w:rPr>
        <w:t>★</w:t>
      </w:r>
      <w:r>
        <w:rPr>
          <w:rFonts w:hint="default" w:ascii="Times New Roman" w:hAnsi="Times New Roman" w:eastAsia="宋体" w:cs="Times New Roman"/>
          <w:sz w:val="28"/>
          <w:szCs w:val="28"/>
        </w:rPr>
        <w:t>在现有存储设备基础上扩展两个硬盘扩展柜，每个硬盘扩展柜配置15个4TB硬盘，共计30个硬盘，原始容量总计120TB。</w:t>
      </w:r>
    </w:p>
    <w:p w14:paraId="3DF58E90">
      <w:pPr>
        <w:spacing w:before="120" w:after="120" w:line="360" w:lineRule="auto"/>
        <w:ind w:firstLine="560" w:firstLineChars="200"/>
        <w:jc w:val="left"/>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t>（3）本次配置7.2K 近线SAS可用容量≥75T</w:t>
      </w:r>
      <w:r>
        <w:rPr>
          <w:rFonts w:hint="eastAsia" w:ascii="Times New Roman" w:hAnsi="Times New Roman" w:eastAsia="宋体" w:cs="Times New Roman"/>
          <w:sz w:val="28"/>
          <w:szCs w:val="28"/>
          <w:lang w:eastAsia="zh-CN"/>
        </w:rPr>
        <w:t>。</w:t>
      </w:r>
    </w:p>
    <w:p w14:paraId="100C2A2B">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（4）▲支持配置可读写二级缓存功能，可将SSD闪存盘配置为系统缓存</w:t>
      </w:r>
    </w:p>
    <w:p w14:paraId="25DA29A2">
      <w:pPr>
        <w:spacing w:before="120" w:after="120" w:line="288" w:lineRule="auto"/>
        <w:jc w:val="left"/>
        <w:outlineLvl w:val="3"/>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2、冗余配置</w:t>
      </w:r>
    </w:p>
    <w:p w14:paraId="775DCE7F">
      <w:pPr>
        <w:spacing w:before="120" w:after="120" w:line="360" w:lineRule="auto"/>
        <w:ind w:firstLine="560" w:firstLineChars="200"/>
        <w:jc w:val="left"/>
        <w:rPr>
          <w:rFonts w:hint="default" w:ascii="Times New Roman" w:hAnsi="Times New Roman" w:eastAsia="宋体" w:cs="Times New Roman"/>
          <w:sz w:val="28"/>
          <w:szCs w:val="28"/>
        </w:rPr>
      </w:pPr>
      <w:r>
        <w:rPr>
          <w:rFonts w:hint="eastAsia" w:ascii="Times New Roman" w:hAnsi="Times New Roman" w:eastAsia="宋体" w:cs="Times New Roman"/>
          <w:bCs/>
          <w:iCs/>
          <w:color w:val="000000"/>
          <w:sz w:val="28"/>
          <w:szCs w:val="28"/>
          <w:lang w:eastAsia="zh-CN"/>
        </w:rPr>
        <w:t>（</w:t>
      </w:r>
      <w:r>
        <w:rPr>
          <w:rFonts w:hint="eastAsia" w:ascii="Times New Roman" w:hAnsi="Times New Roman" w:eastAsia="宋体" w:cs="Times New Roman"/>
          <w:bCs/>
          <w:iCs/>
          <w:color w:val="000000"/>
          <w:sz w:val="28"/>
          <w:szCs w:val="28"/>
          <w:lang w:val="en-US" w:eastAsia="zh-CN"/>
        </w:rPr>
        <w:t>1</w:t>
      </w:r>
      <w:r>
        <w:rPr>
          <w:rFonts w:hint="eastAsia" w:ascii="Times New Roman" w:hAnsi="Times New Roman" w:eastAsia="宋体" w:cs="Times New Roman"/>
          <w:bCs/>
          <w:iCs/>
          <w:color w:val="000000"/>
          <w:sz w:val="28"/>
          <w:szCs w:val="28"/>
          <w:lang w:eastAsia="zh-CN"/>
        </w:rPr>
        <w:t>）</w:t>
      </w:r>
      <w:r>
        <w:rPr>
          <w:rFonts w:hint="default" w:ascii="Times New Roman" w:hAnsi="Times New Roman" w:eastAsia="宋体" w:cs="Times New Roman"/>
          <w:bCs/>
          <w:iCs/>
          <w:color w:val="000000"/>
          <w:sz w:val="28"/>
          <w:szCs w:val="28"/>
        </w:rPr>
        <w:t>★</w:t>
      </w:r>
      <w:r>
        <w:rPr>
          <w:rFonts w:hint="default" w:ascii="Times New Roman" w:hAnsi="Times New Roman" w:eastAsia="宋体" w:cs="Times New Roman"/>
          <w:sz w:val="28"/>
          <w:szCs w:val="28"/>
        </w:rPr>
        <w:t>采用RAID技术（如RAID 5或RAID 6）进行冗余配置，冗余后可用容量预计约为75TB，以提高数据的安全性和可靠性。</w:t>
      </w:r>
    </w:p>
    <w:p w14:paraId="482746EE">
      <w:pPr>
        <w:spacing w:before="120" w:after="120" w:line="360" w:lineRule="auto"/>
        <w:ind w:firstLine="560" w:firstLineChars="200"/>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2</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‌配置全局热备盘‌，每个磁盘扩展柜至少配置1块热备盘，共计2块热备盘</w:t>
      </w:r>
      <w:r>
        <w:rPr>
          <w:rFonts w:hint="eastAsia" w:ascii="Times New Roman" w:hAnsi="Times New Roman" w:eastAsia="宋体" w:cs="Times New Roman"/>
          <w:sz w:val="28"/>
          <w:szCs w:val="28"/>
          <w:lang w:eastAsia="zh-CN"/>
        </w:rPr>
        <w:t>。</w:t>
      </w:r>
    </w:p>
    <w:p w14:paraId="0DF0673A">
      <w:pPr>
        <w:spacing w:before="120" w:after="120" w:line="360" w:lineRule="auto"/>
        <w:ind w:firstLine="560" w:firstLineChars="200"/>
        <w:jc w:val="left"/>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硬件冗余深化：除现有 RAID 及热备盘配置外，硬盘扩展柜需支持电源模块双冗余设计，任一电源故障时，备用模块可自动切换，确保硬件层面无单点故障。</w:t>
      </w:r>
    </w:p>
    <w:p w14:paraId="51A79B69">
      <w:pPr>
        <w:spacing w:before="120" w:after="120" w:line="288" w:lineRule="auto"/>
        <w:jc w:val="left"/>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3、性能与兼容性</w:t>
      </w:r>
    </w:p>
    <w:p w14:paraId="1BD74EF0">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（1）存储系统需具备良好的读写性能，以满足医院业务系统对数据访问的速度要求。</w:t>
      </w:r>
    </w:p>
    <w:p w14:paraId="0FEE3B97">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default" w:ascii="Times New Roman" w:hAnsi="Times New Roman" w:eastAsia="宋体" w:cs="Times New Roman"/>
          <w:bCs/>
          <w:iCs/>
          <w:color w:val="000000"/>
          <w:sz w:val="28"/>
          <w:szCs w:val="28"/>
        </w:rPr>
        <w:t>★</w:t>
      </w:r>
      <w:r>
        <w:rPr>
          <w:rFonts w:hint="default" w:ascii="Times New Roman" w:hAnsi="Times New Roman" w:eastAsia="宋体" w:cs="Times New Roman"/>
          <w:sz w:val="28"/>
          <w:szCs w:val="28"/>
        </w:rPr>
        <w:t>需与医院现有存储系统无缝集成并兼容，确保扩容后系统稳定运行。</w:t>
      </w:r>
    </w:p>
    <w:p w14:paraId="7F6FCCAF">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（3）▲兼容医院现有存储管理软件，支持直接对扩展柜进行纳管。</w:t>
      </w:r>
    </w:p>
    <w:p w14:paraId="4C82A56C">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（4）设备支持热插拔功能，硬盘等部件可在线更换，不影响业务系统运行。</w:t>
      </w:r>
    </w:p>
    <w:p w14:paraId="30A387E0">
      <w:pPr>
        <w:spacing w:before="300" w:after="120" w:line="288" w:lineRule="auto"/>
        <w:jc w:val="left"/>
        <w:outlineLvl w:val="2"/>
        <w:rPr>
          <w:rFonts w:hint="default" w:ascii="Times New Roman" w:hAnsi="Times New Roman" w:eastAsia="宋体" w:cs="Times New Roman"/>
        </w:rPr>
      </w:pPr>
      <w:bookmarkStart w:id="5" w:name="heading_5"/>
      <w:r>
        <w:rPr>
          <w:rFonts w:hint="default" w:ascii="Times New Roman" w:hAnsi="Times New Roman" w:eastAsia="宋体" w:cs="Times New Roman"/>
          <w:b/>
          <w:sz w:val="30"/>
        </w:rPr>
        <w:t>（二）分院存储扩容技术需求</w:t>
      </w:r>
      <w:bookmarkEnd w:id="5"/>
    </w:p>
    <w:p w14:paraId="505EA83C">
      <w:pPr>
        <w:spacing w:before="120" w:after="120" w:line="288" w:lineRule="auto"/>
        <w:jc w:val="left"/>
        <w:outlineLvl w:val="3"/>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1、容量需求</w:t>
      </w:r>
    </w:p>
    <w:p w14:paraId="3D8A2EF9">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bCs/>
          <w:iCs/>
          <w:color w:val="000000"/>
          <w:sz w:val="28"/>
          <w:szCs w:val="28"/>
        </w:rPr>
        <w:t>★</w:t>
      </w:r>
      <w:r>
        <w:rPr>
          <w:rFonts w:hint="default" w:ascii="Times New Roman" w:hAnsi="Times New Roman" w:eastAsia="宋体" w:cs="Times New Roman"/>
          <w:sz w:val="28"/>
          <w:szCs w:val="28"/>
        </w:rPr>
        <w:t>考虑到分院业务增长和容灾备份需求，至少新增</w:t>
      </w:r>
      <w:r>
        <w:rPr>
          <w:rFonts w:hint="eastAsia" w:ascii="Times New Roman" w:hAnsi="Times New Roman" w:eastAsia="宋体" w:cs="Times New Roman"/>
          <w:sz w:val="28"/>
          <w:szCs w:val="28"/>
          <w:lang w:val="en-US" w:eastAsia="zh-CN"/>
        </w:rPr>
        <w:t>约</w:t>
      </w:r>
      <w:r>
        <w:rPr>
          <w:rFonts w:hint="default" w:ascii="Times New Roman" w:hAnsi="Times New Roman" w:eastAsia="宋体" w:cs="Times New Roman"/>
          <w:sz w:val="28"/>
          <w:szCs w:val="28"/>
        </w:rPr>
        <w:t>70TB</w:t>
      </w:r>
      <w:r>
        <w:rPr>
          <w:rFonts w:hint="eastAsia" w:ascii="Times New Roman" w:hAnsi="Times New Roman" w:eastAsia="宋体" w:cs="Times New Roman"/>
          <w:sz w:val="28"/>
          <w:szCs w:val="28"/>
          <w:lang w:val="en-US" w:eastAsia="zh-CN"/>
        </w:rPr>
        <w:t>可用</w:t>
      </w:r>
      <w:r>
        <w:rPr>
          <w:rFonts w:hint="default" w:ascii="Times New Roman" w:hAnsi="Times New Roman" w:eastAsia="宋体" w:cs="Times New Roman"/>
          <w:sz w:val="28"/>
          <w:szCs w:val="28"/>
        </w:rPr>
        <w:t>存储空间。</w:t>
      </w:r>
    </w:p>
    <w:p w14:paraId="17D06622">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default" w:ascii="Times New Roman" w:hAnsi="Times New Roman" w:eastAsia="宋体" w:cs="Times New Roman"/>
          <w:bCs/>
          <w:iCs/>
          <w:color w:val="000000"/>
          <w:sz w:val="28"/>
          <w:szCs w:val="28"/>
        </w:rPr>
        <w:t>★</w:t>
      </w:r>
      <w:r>
        <w:rPr>
          <w:rFonts w:hint="default" w:ascii="Times New Roman" w:hAnsi="Times New Roman" w:eastAsia="宋体" w:cs="Times New Roman"/>
          <w:sz w:val="28"/>
          <w:szCs w:val="28"/>
        </w:rPr>
        <w:t>增加一台大容量存储服务器，配置12个8TB硬盘，原始容量总计96TB。</w:t>
      </w:r>
    </w:p>
    <w:p w14:paraId="40F47B0A">
      <w:pPr>
        <w:spacing w:before="120" w:after="120" w:line="360" w:lineRule="auto"/>
        <w:jc w:val="left"/>
        <w:outlineLvl w:val="3"/>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2、冗余配置</w:t>
      </w:r>
    </w:p>
    <w:p w14:paraId="1C3829E5">
      <w:pPr>
        <w:spacing w:before="120" w:after="120" w:line="360" w:lineRule="auto"/>
        <w:ind w:firstLine="560" w:firstLineChars="200"/>
        <w:jc w:val="left"/>
        <w:rPr>
          <w:rFonts w:hint="default" w:ascii="Times New Roman" w:hAnsi="Times New Roman" w:eastAsia="宋体" w:cs="Times New Roman"/>
          <w:sz w:val="28"/>
          <w:szCs w:val="28"/>
        </w:rPr>
      </w:pPr>
      <w:r>
        <w:rPr>
          <w:rFonts w:hint="eastAsia" w:ascii="Times New Roman" w:hAnsi="Times New Roman" w:eastAsia="宋体" w:cs="Times New Roman"/>
          <w:bCs/>
          <w:iCs/>
          <w:color w:val="000000"/>
          <w:sz w:val="28"/>
          <w:szCs w:val="28"/>
          <w:lang w:eastAsia="zh-CN"/>
        </w:rPr>
        <w:t>（</w:t>
      </w:r>
      <w:r>
        <w:rPr>
          <w:rFonts w:hint="eastAsia" w:ascii="Times New Roman" w:hAnsi="Times New Roman" w:eastAsia="宋体" w:cs="Times New Roman"/>
          <w:bCs/>
          <w:iCs/>
          <w:color w:val="000000"/>
          <w:sz w:val="28"/>
          <w:szCs w:val="28"/>
          <w:lang w:val="en-US" w:eastAsia="zh-CN"/>
        </w:rPr>
        <w:t>1</w:t>
      </w:r>
      <w:r>
        <w:rPr>
          <w:rFonts w:hint="eastAsia" w:ascii="Times New Roman" w:hAnsi="Times New Roman" w:eastAsia="宋体" w:cs="Times New Roman"/>
          <w:bCs/>
          <w:iCs/>
          <w:color w:val="000000"/>
          <w:sz w:val="28"/>
          <w:szCs w:val="28"/>
          <w:lang w:eastAsia="zh-CN"/>
        </w:rPr>
        <w:t>）</w:t>
      </w:r>
      <w:r>
        <w:rPr>
          <w:rFonts w:hint="default" w:ascii="Times New Roman" w:hAnsi="Times New Roman" w:eastAsia="宋体" w:cs="Times New Roman"/>
          <w:bCs/>
          <w:iCs/>
          <w:color w:val="000000"/>
          <w:sz w:val="28"/>
          <w:szCs w:val="28"/>
        </w:rPr>
        <w:t>★</w:t>
      </w:r>
      <w:r>
        <w:rPr>
          <w:rFonts w:hint="default" w:ascii="Times New Roman" w:hAnsi="Times New Roman" w:eastAsia="宋体" w:cs="Times New Roman"/>
          <w:sz w:val="28"/>
          <w:szCs w:val="28"/>
        </w:rPr>
        <w:t>采用RAID技术进行冗余配置，冗余后可用容量预计约为70TB。</w:t>
      </w:r>
    </w:p>
    <w:p w14:paraId="194AEDBD">
      <w:pPr>
        <w:spacing w:before="120" w:after="120" w:line="360" w:lineRule="auto"/>
        <w:ind w:firstLine="560" w:firstLineChars="200"/>
        <w:jc w:val="left"/>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2</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‌支持数据复制功能‌，可配置与总院存储进行数据复制</w:t>
      </w:r>
    </w:p>
    <w:p w14:paraId="2C9D87B7">
      <w:pPr>
        <w:spacing w:before="120" w:after="120" w:line="360" w:lineRule="auto"/>
        <w:jc w:val="left"/>
        <w:outlineLvl w:val="3"/>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3、性能与兼容性</w:t>
      </w:r>
    </w:p>
    <w:p w14:paraId="1216ABAA">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（1）存储服务器需具备高效的硬盘读写性能，以支持分院业务系统的高效运行。</w:t>
      </w:r>
    </w:p>
    <w:p w14:paraId="2F3FF7A8">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w:t>
      </w:r>
      <w:r>
        <w:rPr>
          <w:rFonts w:hint="default" w:ascii="Times New Roman" w:hAnsi="Times New Roman" w:eastAsia="宋体" w:cs="Times New Roman"/>
          <w:bCs/>
          <w:iCs/>
          <w:color w:val="000000"/>
          <w:sz w:val="28"/>
          <w:szCs w:val="28"/>
        </w:rPr>
        <w:t>★</w:t>
      </w:r>
      <w:r>
        <w:rPr>
          <w:rFonts w:hint="default" w:ascii="Times New Roman" w:hAnsi="Times New Roman" w:eastAsia="宋体" w:cs="Times New Roman"/>
          <w:sz w:val="28"/>
          <w:szCs w:val="28"/>
        </w:rPr>
        <w:t>需与分院现有IT基础设施兼容，保证业务系统的无缝衔接。</w:t>
      </w:r>
    </w:p>
    <w:p w14:paraId="3B1F22C5">
      <w:pPr>
        <w:numPr>
          <w:ilvl w:val="0"/>
          <w:numId w:val="1"/>
        </w:num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操作系统‌：支持Windows Server 2019/2022、Linux（CentOS 7/8、Ubuntu </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t xml:space="preserve">20.04/22.04）；虚拟化平台‌：支持VMware vSphere 7.0+、Microsoft Hyper-V </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t>2019+、KVM；数据库‌：支持Oracle、SQL Server、MySQL、PostgreSQL</w:t>
      </w:r>
    </w:p>
    <w:p w14:paraId="55C9E715">
      <w:pPr>
        <w:numPr>
          <w:ilvl w:val="0"/>
          <w:numId w:val="1"/>
        </w:num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▲兼容医院现有备份软件，支持直接对接备份系统进行数据备份，无需额外配置中间件。</w:t>
      </w:r>
    </w:p>
    <w:p w14:paraId="3031DBCF">
      <w:pPr>
        <w:numPr>
          <w:ilvl w:val="0"/>
          <w:numId w:val="1"/>
        </w:num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设备支持热插拔功能，硬盘、电源等部件可在线更换，不影响业务系统运行。</w:t>
      </w:r>
    </w:p>
    <w:p w14:paraId="61E30279">
      <w:pPr>
        <w:spacing w:before="320" w:after="120" w:line="288" w:lineRule="auto"/>
        <w:jc w:val="left"/>
        <w:outlineLvl w:val="1"/>
        <w:rPr>
          <w:rFonts w:hint="default" w:ascii="Times New Roman" w:hAnsi="Times New Roman" w:eastAsia="宋体" w:cs="Times New Roman"/>
        </w:rPr>
      </w:pPr>
      <w:bookmarkStart w:id="6" w:name="heading_6"/>
      <w:r>
        <w:rPr>
          <w:rFonts w:hint="default" w:ascii="Times New Roman" w:hAnsi="Times New Roman" w:eastAsia="宋体" w:cs="Times New Roman"/>
          <w:b/>
          <w:sz w:val="32"/>
        </w:rPr>
        <w:t>四、交付及验收要求</w:t>
      </w:r>
      <w:bookmarkEnd w:id="6"/>
    </w:p>
    <w:p w14:paraId="048A9695">
      <w:pPr>
        <w:spacing w:before="120" w:after="120" w:line="288" w:lineRule="auto"/>
        <w:jc w:val="left"/>
        <w:outlineLvl w:val="3"/>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1、交付时间</w:t>
      </w:r>
    </w:p>
    <w:p w14:paraId="1E5382D0">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供应商需在合同签订后10个工作日内完成设备交付及安装调试。</w:t>
      </w:r>
    </w:p>
    <w:p w14:paraId="1B8164A7">
      <w:pPr>
        <w:spacing w:before="120" w:after="120" w:line="288" w:lineRule="auto"/>
        <w:jc w:val="left"/>
        <w:outlineLvl w:val="3"/>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2、验收标准</w:t>
      </w:r>
    </w:p>
    <w:p w14:paraId="6CE2548A">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（1）容量验收：总院硬盘扩展柜的硬盘原始容量达到120TB，冗余后可用容量不低于75TB；分院存储服务器原始容量达到96TB，冗余后可用容量不低于70TB。</w:t>
      </w:r>
    </w:p>
    <w:p w14:paraId="172F70DA">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（2）性能验收：存储系统上的硬盘性能指标不低于扩容前水平。</w:t>
      </w:r>
    </w:p>
    <w:p w14:paraId="1824EB20">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（3）数据安全验收：数据完整性校验通过，无丢失、损坏或错乱；权限配置正常，冗余机制（如RAID）正常生效。</w:t>
      </w:r>
    </w:p>
    <w:p w14:paraId="4E32AB29">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（4）兼容性与稳定性验收：与原有硬件、软件系统兼容，连续稳定运行72小时以上无故障，管理平台可正常监控存储状态。</w:t>
      </w:r>
    </w:p>
    <w:p w14:paraId="26A205FE">
      <w:pPr>
        <w:spacing w:before="320" w:after="120" w:line="288" w:lineRule="auto"/>
        <w:jc w:val="left"/>
        <w:outlineLvl w:val="1"/>
        <w:rPr>
          <w:rFonts w:hint="default" w:ascii="Times New Roman" w:hAnsi="Times New Roman" w:eastAsia="宋体" w:cs="Times New Roman"/>
        </w:rPr>
      </w:pPr>
      <w:bookmarkStart w:id="7" w:name="heading_7"/>
      <w:r>
        <w:rPr>
          <w:rFonts w:hint="default" w:ascii="Times New Roman" w:hAnsi="Times New Roman" w:eastAsia="宋体" w:cs="Times New Roman"/>
          <w:b/>
          <w:sz w:val="32"/>
        </w:rPr>
        <w:t>五、</w:t>
      </w:r>
      <w:r>
        <w:rPr>
          <w:rFonts w:hint="default" w:ascii="Times New Roman" w:hAnsi="Times New Roman" w:eastAsia="宋体" w:cs="Times New Roman"/>
          <w:b/>
          <w:color w:val="C00000"/>
          <w:sz w:val="32"/>
        </w:rPr>
        <w:t>供应商资质及服务要求</w:t>
      </w:r>
      <w:bookmarkEnd w:id="7"/>
    </w:p>
    <w:p w14:paraId="5008AD7D">
      <w:pPr>
        <w:spacing w:before="120" w:after="120" w:line="288" w:lineRule="auto"/>
        <w:jc w:val="left"/>
        <w:outlineLvl w:val="3"/>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1、供应商资质</w:t>
      </w:r>
    </w:p>
    <w:p w14:paraId="6895CC02">
      <w:pPr>
        <w:spacing w:before="120" w:after="120" w:line="360" w:lineRule="auto"/>
        <w:ind w:firstLine="560" w:firstLineChars="200"/>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（1）满足《中华人民共和国政府采购法》第二十二条规定；</w:t>
      </w:r>
    </w:p>
    <w:p w14:paraId="0E882E09">
      <w:pPr>
        <w:spacing w:before="120" w:after="120" w:line="360" w:lineRule="auto"/>
        <w:ind w:firstLine="560" w:firstLineChars="200"/>
        <w:jc w:val="lef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2）参加政府采购活动前三年内，在经营活动中没有重大违法记录；未被列入“信用中国”网站(www.creditchina.gov.cn)以下情形之一：①重大税收违法失信主体；②政府采购严重违法失信行为记录名单。同时，在中国政府采购网(www.ccgp.gov.cn)“政府采购严重违法失信行为记录名单”中查询没有处于禁止参加政府采购活动的记录名单。</w:t>
      </w:r>
    </w:p>
    <w:p w14:paraId="021B47C3">
      <w:pPr>
        <w:spacing w:before="120" w:after="120" w:line="360" w:lineRule="auto"/>
        <w:ind w:firstLine="560" w:firstLineChars="200"/>
        <w:jc w:val="left"/>
        <w:rPr>
          <w:rFonts w:hint="eastAsia"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此外，本项目采用表1所示的评分标准选择潜在中标供应商：</w:t>
      </w:r>
    </w:p>
    <w:p w14:paraId="44F003BC">
      <w:pPr>
        <w:pStyle w:val="2"/>
        <w:jc w:val="center"/>
        <w:rPr>
          <w:rFonts w:hint="default"/>
          <w:lang w:val="en-US" w:eastAsia="zh-CN"/>
        </w:rPr>
      </w:pPr>
      <w:r>
        <w:rPr>
          <w:rFonts w:hint="eastAsia" w:ascii="Times New Roman" w:hAnsi="Times New Roman" w:eastAsia="宋体" w:cs="Times New Roman"/>
          <w:color w:val="000000"/>
          <w:sz w:val="28"/>
          <w:szCs w:val="28"/>
          <w:lang w:val="en-US" w:eastAsia="zh-CN"/>
        </w:rPr>
        <w:t>表1  评审标准</w:t>
      </w:r>
    </w:p>
    <w:tbl>
      <w:tblPr>
        <w:tblStyle w:val="5"/>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44"/>
        <w:gridCol w:w="1595"/>
        <w:gridCol w:w="4919"/>
        <w:gridCol w:w="663"/>
        <w:gridCol w:w="797"/>
      </w:tblGrid>
      <w:tr w14:paraId="518AC3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319" w:type="pct"/>
            <w:tcBorders>
              <w:tl2br w:val="nil"/>
              <w:tr2bl w:val="nil"/>
            </w:tcBorders>
            <w:vAlign w:val="center"/>
          </w:tcPr>
          <w:p w14:paraId="744AFD6C">
            <w:pPr>
              <w:ind w:left="-78" w:leftChars="-37" w:right="-73" w:rightChars="-35"/>
              <w:jc w:val="center"/>
              <w:rPr>
                <w:rFonts w:ascii="宋体" w:cs="宋体"/>
                <w:b/>
                <w:color w:val="auto"/>
              </w:rPr>
            </w:pPr>
            <w:r>
              <w:rPr>
                <w:rFonts w:hint="eastAsia" w:ascii="宋体" w:cs="宋体"/>
                <w:b/>
                <w:color w:val="auto"/>
              </w:rPr>
              <w:t>序号</w:t>
            </w:r>
          </w:p>
        </w:tc>
        <w:tc>
          <w:tcPr>
            <w:tcW w:w="936" w:type="pct"/>
            <w:tcBorders>
              <w:tl2br w:val="nil"/>
              <w:tr2bl w:val="nil"/>
            </w:tcBorders>
            <w:vAlign w:val="center"/>
          </w:tcPr>
          <w:p w14:paraId="08318C93">
            <w:pPr>
              <w:ind w:left="-78" w:leftChars="-37" w:right="-73" w:rightChars="-35"/>
              <w:jc w:val="center"/>
              <w:rPr>
                <w:rFonts w:ascii="宋体" w:cs="宋体"/>
                <w:b/>
                <w:color w:val="auto"/>
              </w:rPr>
            </w:pPr>
            <w:r>
              <w:rPr>
                <w:rFonts w:hint="eastAsia" w:ascii="宋体" w:cs="宋体"/>
                <w:b/>
                <w:color w:val="auto"/>
              </w:rPr>
              <w:t>评审因素</w:t>
            </w:r>
          </w:p>
        </w:tc>
        <w:tc>
          <w:tcPr>
            <w:tcW w:w="2887" w:type="pct"/>
            <w:tcBorders>
              <w:tl2br w:val="nil"/>
              <w:tr2bl w:val="nil"/>
            </w:tcBorders>
            <w:vAlign w:val="center"/>
          </w:tcPr>
          <w:p w14:paraId="238C43CB">
            <w:pPr>
              <w:ind w:left="-78" w:leftChars="-37" w:right="-73" w:rightChars="-35"/>
              <w:jc w:val="center"/>
              <w:rPr>
                <w:rFonts w:ascii="宋体" w:cs="宋体"/>
                <w:b/>
                <w:color w:val="auto"/>
              </w:rPr>
            </w:pPr>
            <w:r>
              <w:rPr>
                <w:rFonts w:hint="eastAsia" w:ascii="宋体" w:cs="宋体"/>
                <w:b/>
                <w:color w:val="auto"/>
              </w:rPr>
              <w:t>评分细则</w:t>
            </w:r>
          </w:p>
        </w:tc>
        <w:tc>
          <w:tcPr>
            <w:tcW w:w="389" w:type="pct"/>
            <w:tcBorders>
              <w:tl2br w:val="nil"/>
              <w:tr2bl w:val="nil"/>
            </w:tcBorders>
            <w:vAlign w:val="center"/>
          </w:tcPr>
          <w:p w14:paraId="492ED8B8">
            <w:pPr>
              <w:ind w:left="-78" w:leftChars="-37" w:right="-73" w:rightChars="-35"/>
              <w:jc w:val="center"/>
              <w:rPr>
                <w:rFonts w:ascii="宋体" w:cs="宋体"/>
                <w:b/>
                <w:color w:val="auto"/>
              </w:rPr>
            </w:pPr>
            <w:r>
              <w:rPr>
                <w:rFonts w:hint="eastAsia" w:ascii="宋体" w:cs="宋体"/>
                <w:b/>
                <w:color w:val="auto"/>
              </w:rPr>
              <w:t>权重</w:t>
            </w:r>
          </w:p>
        </w:tc>
        <w:tc>
          <w:tcPr>
            <w:tcW w:w="467" w:type="pct"/>
            <w:tcBorders>
              <w:tl2br w:val="nil"/>
              <w:tr2bl w:val="nil"/>
            </w:tcBorders>
            <w:vAlign w:val="center"/>
          </w:tcPr>
          <w:p w14:paraId="15558012">
            <w:pPr>
              <w:ind w:left="-78" w:leftChars="-37" w:right="-73" w:rightChars="-35"/>
              <w:jc w:val="center"/>
              <w:rPr>
                <w:rFonts w:ascii="宋体" w:cs="宋体"/>
                <w:b/>
                <w:color w:val="auto"/>
              </w:rPr>
            </w:pPr>
            <w:r>
              <w:rPr>
                <w:rFonts w:hint="eastAsia" w:ascii="宋体" w:cs="宋体"/>
                <w:b/>
                <w:color w:val="auto"/>
              </w:rPr>
              <w:t>分值</w:t>
            </w:r>
          </w:p>
        </w:tc>
      </w:tr>
      <w:tr w14:paraId="577F2C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1" w:hRule="atLeast"/>
        </w:trPr>
        <w:tc>
          <w:tcPr>
            <w:tcW w:w="319" w:type="pct"/>
            <w:tcBorders>
              <w:tl2br w:val="nil"/>
              <w:tr2bl w:val="nil"/>
            </w:tcBorders>
            <w:vAlign w:val="center"/>
          </w:tcPr>
          <w:p w14:paraId="303A1F54">
            <w:pPr>
              <w:ind w:left="-78" w:leftChars="-37" w:right="-73" w:rightChars="-35"/>
              <w:jc w:val="center"/>
              <w:rPr>
                <w:rFonts w:ascii="宋体" w:cs="宋体"/>
                <w:color w:val="auto"/>
              </w:rPr>
            </w:pPr>
            <w:r>
              <w:rPr>
                <w:rFonts w:hint="eastAsia" w:ascii="宋体" w:cs="宋体"/>
                <w:color w:val="auto"/>
              </w:rPr>
              <w:t>一</w:t>
            </w:r>
          </w:p>
        </w:tc>
        <w:tc>
          <w:tcPr>
            <w:tcW w:w="4680" w:type="pct"/>
            <w:gridSpan w:val="4"/>
            <w:tcBorders>
              <w:tl2br w:val="nil"/>
              <w:tr2bl w:val="nil"/>
            </w:tcBorders>
            <w:vAlign w:val="center"/>
          </w:tcPr>
          <w:p w14:paraId="319A6713">
            <w:pPr>
              <w:ind w:left="-78" w:leftChars="-37" w:right="-73" w:rightChars="-35"/>
              <w:jc w:val="center"/>
              <w:rPr>
                <w:rFonts w:ascii="宋体" w:cs="宋体"/>
                <w:b/>
                <w:color w:val="auto"/>
              </w:rPr>
            </w:pPr>
            <w:r>
              <w:rPr>
                <w:rFonts w:hint="eastAsia" w:ascii="宋体" w:cs="宋体"/>
                <w:b/>
                <w:color w:val="auto"/>
              </w:rPr>
              <w:t>商务部分(合计</w:t>
            </w:r>
            <w:r>
              <w:rPr>
                <w:rFonts w:hint="eastAsia" w:ascii="宋体" w:cs="宋体"/>
                <w:b/>
                <w:color w:val="auto"/>
                <w:lang w:val="en-US" w:eastAsia="zh-CN"/>
              </w:rPr>
              <w:t>30</w:t>
            </w:r>
            <w:r>
              <w:rPr>
                <w:rFonts w:hint="eastAsia" w:ascii="宋体" w:cs="宋体"/>
                <w:b/>
                <w:color w:val="auto"/>
              </w:rPr>
              <w:t>分)</w:t>
            </w:r>
          </w:p>
        </w:tc>
      </w:tr>
      <w:tr w14:paraId="180C0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319" w:type="pct"/>
            <w:tcBorders>
              <w:tl2br w:val="nil"/>
              <w:tr2bl w:val="nil"/>
            </w:tcBorders>
            <w:vAlign w:val="center"/>
          </w:tcPr>
          <w:p w14:paraId="114FEBB0">
            <w:pPr>
              <w:pStyle w:val="10"/>
              <w:numPr>
                <w:ilvl w:val="0"/>
                <w:numId w:val="2"/>
              </w:numPr>
              <w:ind w:firstLineChars="0"/>
              <w:jc w:val="center"/>
              <w:rPr>
                <w:rFonts w:ascii="宋体" w:eastAsia="宋体" w:cs="宋体"/>
                <w:color w:val="auto"/>
                <w:sz w:val="21"/>
                <w:szCs w:val="21"/>
              </w:rPr>
            </w:pPr>
          </w:p>
        </w:tc>
        <w:tc>
          <w:tcPr>
            <w:tcW w:w="936" w:type="pct"/>
            <w:tcBorders>
              <w:tl2br w:val="nil"/>
              <w:tr2bl w:val="nil"/>
            </w:tcBorders>
            <w:shd w:val="clear" w:color="auto" w:fill="auto"/>
            <w:vAlign w:val="center"/>
          </w:tcPr>
          <w:p w14:paraId="3951E13C">
            <w:pPr>
              <w:pStyle w:val="11"/>
              <w:spacing w:line="360" w:lineRule="auto"/>
              <w:rPr>
                <w:rFonts w:ascii="宋体" w:hAnsi="宋体" w:cs="宋体"/>
                <w:color w:val="auto"/>
                <w:sz w:val="21"/>
                <w:szCs w:val="21"/>
              </w:rPr>
            </w:pPr>
            <w:r>
              <w:rPr>
                <w:rFonts w:hint="eastAsia" w:ascii="宋体" w:hAnsi="宋体" w:cs="宋体"/>
                <w:color w:val="auto"/>
                <w:sz w:val="21"/>
                <w:szCs w:val="21"/>
              </w:rPr>
              <w:t>业绩情况</w:t>
            </w:r>
          </w:p>
        </w:tc>
        <w:tc>
          <w:tcPr>
            <w:tcW w:w="2887" w:type="pct"/>
            <w:tcBorders>
              <w:tl2br w:val="nil"/>
              <w:tr2bl w:val="nil"/>
            </w:tcBorders>
            <w:shd w:val="clear" w:color="auto" w:fill="auto"/>
            <w:vAlign w:val="center"/>
          </w:tcPr>
          <w:p w14:paraId="33838357">
            <w:pPr>
              <w:pStyle w:val="11"/>
              <w:spacing w:line="360" w:lineRule="auto"/>
              <w:rPr>
                <w:rFonts w:ascii="宋体" w:hAnsi="宋体" w:cs="宋体"/>
                <w:color w:val="auto"/>
                <w:sz w:val="21"/>
                <w:szCs w:val="21"/>
              </w:rPr>
            </w:pPr>
            <w:r>
              <w:rPr>
                <w:rFonts w:hint="eastAsia" w:ascii="宋体" w:hAnsi="宋体" w:cs="宋体"/>
                <w:color w:val="auto"/>
                <w:sz w:val="21"/>
                <w:szCs w:val="21"/>
              </w:rPr>
              <w:t>提供近三年内（2022年1月1日至今）同类项目</w:t>
            </w:r>
            <w:r>
              <w:rPr>
                <w:rFonts w:hint="eastAsia" w:ascii="宋体" w:hAnsi="宋体" w:cs="宋体"/>
                <w:color w:val="auto"/>
                <w:sz w:val="21"/>
                <w:szCs w:val="21"/>
                <w:lang w:val="en-US" w:eastAsia="zh-CN"/>
              </w:rPr>
              <w:t>设备运维类</w:t>
            </w:r>
            <w:r>
              <w:rPr>
                <w:rFonts w:hint="eastAsia" w:ascii="宋体" w:hAnsi="宋体" w:cs="宋体"/>
                <w:color w:val="auto"/>
                <w:sz w:val="21"/>
                <w:szCs w:val="21"/>
              </w:rPr>
              <w:t>业绩（</w:t>
            </w:r>
            <w:r>
              <w:rPr>
                <w:rFonts w:hint="eastAsia" w:ascii="宋体" w:hAnsi="宋体" w:cs="宋体"/>
                <w:color w:val="auto"/>
                <w:sz w:val="21"/>
                <w:szCs w:val="21"/>
                <w:lang w:val="en-US" w:eastAsia="zh-CN"/>
              </w:rPr>
              <w:t>内容含网络</w:t>
            </w:r>
            <w:r>
              <w:rPr>
                <w:rFonts w:hint="eastAsia" w:ascii="宋体" w:hAnsi="宋体" w:cs="宋体"/>
                <w:color w:val="auto"/>
                <w:sz w:val="21"/>
                <w:szCs w:val="21"/>
              </w:rPr>
              <w:t>运维</w:t>
            </w:r>
            <w:r>
              <w:rPr>
                <w:rFonts w:hint="eastAsia" w:ascii="宋体" w:hAnsi="宋体" w:cs="宋体"/>
                <w:color w:val="auto"/>
                <w:sz w:val="21"/>
                <w:szCs w:val="21"/>
                <w:lang w:val="en-US" w:eastAsia="zh-CN"/>
              </w:rPr>
              <w:t>/存储运维即可</w:t>
            </w:r>
            <w:r>
              <w:rPr>
                <w:rFonts w:hint="eastAsia" w:ascii="宋体" w:hAnsi="宋体" w:cs="宋体"/>
                <w:color w:val="auto"/>
                <w:sz w:val="21"/>
                <w:szCs w:val="21"/>
              </w:rPr>
              <w:t>），每提供一个业绩得</w:t>
            </w:r>
            <w:r>
              <w:rPr>
                <w:rFonts w:hint="eastAsia" w:ascii="宋体" w:hAnsi="宋体" w:cs="宋体"/>
                <w:color w:val="auto"/>
                <w:sz w:val="21"/>
                <w:szCs w:val="21"/>
                <w:lang w:val="en-US" w:eastAsia="zh-CN"/>
              </w:rPr>
              <w:t>3</w:t>
            </w:r>
            <w:r>
              <w:rPr>
                <w:rFonts w:hint="eastAsia" w:ascii="宋体" w:hAnsi="宋体" w:cs="宋体"/>
                <w:color w:val="auto"/>
                <w:sz w:val="21"/>
                <w:szCs w:val="21"/>
              </w:rPr>
              <w:t>分，本项最高得分</w:t>
            </w:r>
            <w:r>
              <w:rPr>
                <w:rFonts w:hint="eastAsia" w:ascii="宋体" w:hAnsi="宋体" w:cs="宋体"/>
                <w:color w:val="auto"/>
                <w:sz w:val="21"/>
                <w:szCs w:val="21"/>
                <w:lang w:val="en-US" w:eastAsia="zh-CN"/>
              </w:rPr>
              <w:t>6</w:t>
            </w:r>
            <w:r>
              <w:rPr>
                <w:rFonts w:hint="eastAsia" w:ascii="宋体" w:hAnsi="宋体" w:cs="宋体"/>
                <w:color w:val="auto"/>
                <w:sz w:val="21"/>
                <w:szCs w:val="21"/>
              </w:rPr>
              <w:t>分。</w:t>
            </w:r>
          </w:p>
          <w:p w14:paraId="191704A1">
            <w:pPr>
              <w:pStyle w:val="11"/>
              <w:spacing w:line="360" w:lineRule="auto"/>
              <w:rPr>
                <w:rFonts w:ascii="宋体" w:hAnsi="宋体" w:cs="宋体"/>
                <w:color w:val="auto"/>
                <w:sz w:val="21"/>
                <w:szCs w:val="21"/>
              </w:rPr>
            </w:pPr>
            <w:r>
              <w:rPr>
                <w:rFonts w:hint="eastAsia" w:ascii="宋体" w:hAnsi="宋体" w:cs="宋体"/>
                <w:color w:val="auto"/>
                <w:sz w:val="21"/>
                <w:szCs w:val="21"/>
              </w:rPr>
              <w:t>注：以合同签订的时间为准，提供合同关键页复印件（合同封面、合同主要内容、合同各方名称及各方落款盖章、合同签订时间）。提供不全或不提供不得分。</w:t>
            </w:r>
          </w:p>
        </w:tc>
        <w:tc>
          <w:tcPr>
            <w:tcW w:w="389" w:type="pct"/>
            <w:tcBorders>
              <w:tl2br w:val="nil"/>
              <w:tr2bl w:val="nil"/>
            </w:tcBorders>
            <w:vAlign w:val="center"/>
          </w:tcPr>
          <w:p w14:paraId="24E4F63B">
            <w:pPr>
              <w:spacing w:line="360" w:lineRule="auto"/>
              <w:ind w:left="-78" w:leftChars="-37" w:right="-73" w:rightChars="-35"/>
              <w:jc w:val="center"/>
              <w:rPr>
                <w:rFonts w:ascii="宋体" w:cs="宋体"/>
                <w:color w:val="auto"/>
              </w:rPr>
            </w:pPr>
            <w:r>
              <w:rPr>
                <w:rFonts w:hint="eastAsia" w:ascii="宋体" w:cs="宋体"/>
                <w:color w:val="auto"/>
                <w:lang w:val="en-US" w:eastAsia="zh-CN"/>
              </w:rPr>
              <w:t>6</w:t>
            </w:r>
            <w:r>
              <w:rPr>
                <w:rFonts w:hint="eastAsia" w:ascii="宋体" w:cs="宋体"/>
                <w:color w:val="auto"/>
              </w:rPr>
              <w:t>%</w:t>
            </w:r>
          </w:p>
        </w:tc>
        <w:tc>
          <w:tcPr>
            <w:tcW w:w="467" w:type="pct"/>
            <w:tcBorders>
              <w:tl2br w:val="nil"/>
              <w:tr2bl w:val="nil"/>
            </w:tcBorders>
            <w:vAlign w:val="center"/>
          </w:tcPr>
          <w:p w14:paraId="6746B3FC">
            <w:pPr>
              <w:spacing w:line="360" w:lineRule="auto"/>
              <w:ind w:left="-78" w:leftChars="-37" w:right="-73" w:rightChars="-35"/>
              <w:jc w:val="center"/>
              <w:rPr>
                <w:rFonts w:ascii="宋体" w:cs="宋体"/>
                <w:color w:val="auto"/>
              </w:rPr>
            </w:pPr>
            <w:r>
              <w:rPr>
                <w:rFonts w:hint="eastAsia" w:ascii="宋体" w:cs="宋体"/>
                <w:color w:val="auto"/>
                <w:lang w:val="en-US" w:eastAsia="zh-CN"/>
              </w:rPr>
              <w:t>6</w:t>
            </w:r>
            <w:r>
              <w:rPr>
                <w:rFonts w:hint="eastAsia" w:ascii="宋体" w:cs="宋体"/>
                <w:bCs/>
                <w:color w:val="auto"/>
              </w:rPr>
              <w:t>分</w:t>
            </w:r>
          </w:p>
        </w:tc>
      </w:tr>
      <w:tr w14:paraId="0ABF81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5" w:hRule="atLeast"/>
        </w:trPr>
        <w:tc>
          <w:tcPr>
            <w:tcW w:w="319" w:type="pct"/>
            <w:tcBorders>
              <w:tl2br w:val="nil"/>
              <w:tr2bl w:val="nil"/>
            </w:tcBorders>
            <w:vAlign w:val="center"/>
          </w:tcPr>
          <w:p w14:paraId="70A6581A">
            <w:pPr>
              <w:pStyle w:val="10"/>
              <w:numPr>
                <w:ilvl w:val="0"/>
                <w:numId w:val="2"/>
              </w:numPr>
              <w:ind w:firstLineChars="0"/>
              <w:jc w:val="center"/>
              <w:rPr>
                <w:rFonts w:ascii="宋体" w:eastAsia="宋体" w:cs="宋体"/>
                <w:color w:val="auto"/>
                <w:sz w:val="21"/>
                <w:szCs w:val="21"/>
              </w:rPr>
            </w:pPr>
          </w:p>
        </w:tc>
        <w:tc>
          <w:tcPr>
            <w:tcW w:w="936" w:type="pct"/>
            <w:tcBorders>
              <w:tl2br w:val="nil"/>
              <w:tr2bl w:val="nil"/>
            </w:tcBorders>
            <w:shd w:val="clear" w:color="auto" w:fill="auto"/>
            <w:vAlign w:val="center"/>
          </w:tcPr>
          <w:p w14:paraId="798BB98F">
            <w:pPr>
              <w:pStyle w:val="11"/>
              <w:spacing w:line="360" w:lineRule="auto"/>
              <w:rPr>
                <w:rFonts w:ascii="宋体" w:hAnsi="宋体" w:cs="宋体"/>
                <w:color w:val="auto"/>
                <w:sz w:val="21"/>
                <w:szCs w:val="21"/>
              </w:rPr>
            </w:pPr>
            <w:r>
              <w:rPr>
                <w:rFonts w:hint="eastAsia" w:ascii="宋体" w:hAnsi="宋体" w:cs="宋体"/>
                <w:color w:val="auto"/>
                <w:sz w:val="21"/>
                <w:szCs w:val="21"/>
                <w:lang w:val="en-US" w:eastAsia="zh-CN"/>
              </w:rPr>
              <w:t>资质</w:t>
            </w:r>
            <w:r>
              <w:rPr>
                <w:rFonts w:hint="eastAsia" w:ascii="宋体" w:hAnsi="宋体" w:cs="宋体"/>
                <w:color w:val="auto"/>
                <w:sz w:val="21"/>
                <w:szCs w:val="21"/>
              </w:rPr>
              <w:t>证书</w:t>
            </w:r>
          </w:p>
        </w:tc>
        <w:tc>
          <w:tcPr>
            <w:tcW w:w="2887" w:type="pct"/>
            <w:tcBorders>
              <w:tl2br w:val="nil"/>
              <w:tr2bl w:val="nil"/>
            </w:tcBorders>
            <w:shd w:val="clear" w:color="auto" w:fill="auto"/>
            <w:vAlign w:val="center"/>
          </w:tcPr>
          <w:p w14:paraId="340FEC54">
            <w:pPr>
              <w:pStyle w:val="11"/>
              <w:spacing w:line="360" w:lineRule="auto"/>
              <w:rPr>
                <w:rFonts w:ascii="宋体" w:hAnsi="宋体" w:cs="宋体"/>
                <w:color w:val="auto"/>
                <w:sz w:val="21"/>
                <w:szCs w:val="21"/>
              </w:rPr>
            </w:pPr>
            <w:r>
              <w:rPr>
                <w:rFonts w:hint="eastAsia" w:ascii="宋体" w:hAnsi="宋体" w:cs="宋体"/>
                <w:color w:val="auto"/>
                <w:sz w:val="21"/>
                <w:szCs w:val="21"/>
              </w:rPr>
              <w:t>投标人具有以下</w:t>
            </w:r>
            <w:r>
              <w:rPr>
                <w:rFonts w:hint="eastAsia" w:ascii="宋体" w:hAnsi="宋体" w:cs="宋体"/>
                <w:color w:val="auto"/>
                <w:sz w:val="21"/>
                <w:szCs w:val="21"/>
                <w:lang w:val="en-US" w:eastAsia="zh-CN"/>
              </w:rPr>
              <w:t>资质</w:t>
            </w:r>
            <w:r>
              <w:rPr>
                <w:rFonts w:hint="eastAsia" w:ascii="宋体" w:hAnsi="宋体" w:cs="宋体"/>
                <w:color w:val="auto"/>
                <w:sz w:val="21"/>
                <w:szCs w:val="21"/>
              </w:rPr>
              <w:t>证书：</w:t>
            </w:r>
          </w:p>
          <w:p w14:paraId="3675223D">
            <w:pPr>
              <w:pStyle w:val="11"/>
              <w:spacing w:line="360" w:lineRule="auto"/>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w:t>
            </w:r>
            <w:r>
              <w:rPr>
                <w:rFonts w:hint="eastAsia" w:ascii="宋体" w:hAnsi="宋体" w:cs="宋体"/>
                <w:color w:val="auto"/>
                <w:sz w:val="21"/>
                <w:szCs w:val="21"/>
              </w:rPr>
              <w:t>质量管理体系认证证书；</w:t>
            </w:r>
          </w:p>
          <w:p w14:paraId="54ED130C">
            <w:pPr>
              <w:pStyle w:val="11"/>
              <w:spacing w:line="360" w:lineRule="auto"/>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lang w:eastAsia="zh-CN"/>
              </w:rPr>
              <w:t>、</w:t>
            </w:r>
            <w:r>
              <w:rPr>
                <w:rFonts w:hint="eastAsia" w:ascii="宋体" w:hAnsi="宋体" w:cs="宋体"/>
                <w:color w:val="auto"/>
                <w:sz w:val="21"/>
                <w:szCs w:val="21"/>
              </w:rPr>
              <w:t>信息安全管理体系认证证书；</w:t>
            </w:r>
          </w:p>
          <w:p w14:paraId="4411D54B">
            <w:pPr>
              <w:pStyle w:val="11"/>
              <w:spacing w:line="360" w:lineRule="auto"/>
              <w:rPr>
                <w:rFonts w:hint="eastAsia" w:ascii="宋体" w:hAns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lang w:eastAsia="zh-CN"/>
              </w:rPr>
              <w:t>、</w:t>
            </w:r>
            <w:r>
              <w:rPr>
                <w:rFonts w:hint="eastAsia" w:ascii="宋体" w:hAnsi="宋体" w:cs="宋体"/>
                <w:color w:val="auto"/>
                <w:sz w:val="21"/>
                <w:szCs w:val="21"/>
              </w:rPr>
              <w:t>信息技术服务管理体系认证证书；</w:t>
            </w:r>
          </w:p>
          <w:p w14:paraId="75ECB35B">
            <w:pPr>
              <w:pStyle w:val="11"/>
              <w:spacing w:line="360" w:lineRule="auto"/>
              <w:rPr>
                <w:rFonts w:hint="eastAsia" w:ascii="宋体" w:hAnsi="宋体" w:cs="宋体"/>
                <w:color w:val="auto"/>
                <w:sz w:val="21"/>
                <w:szCs w:val="21"/>
              </w:rPr>
            </w:pPr>
            <w:r>
              <w:rPr>
                <w:rFonts w:hint="eastAsia" w:ascii="宋体" w:hAnsi="宋体" w:cs="宋体"/>
                <w:color w:val="auto"/>
                <w:sz w:val="21"/>
                <w:szCs w:val="21"/>
                <w:lang w:eastAsia="zh-CN"/>
              </w:rPr>
              <w:t>4</w:t>
            </w:r>
            <w:r>
              <w:rPr>
                <w:rFonts w:hint="eastAsia" w:ascii="宋体" w:hAnsi="宋体" w:cs="宋体"/>
                <w:color w:val="auto"/>
                <w:sz w:val="21"/>
                <w:szCs w:val="21"/>
              </w:rPr>
              <w:t>、售后服务认证5A</w:t>
            </w:r>
          </w:p>
          <w:p w14:paraId="6337D1C7">
            <w:pPr>
              <w:pStyle w:val="11"/>
              <w:spacing w:line="360" w:lineRule="auto"/>
              <w:rPr>
                <w:rFonts w:hint="eastAsia" w:ascii="宋体" w:hAnsi="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rPr>
              <w:t>、企业信用等级证书（运维服务领域AAA）</w:t>
            </w:r>
            <w:r>
              <w:rPr>
                <w:rFonts w:hint="eastAsia" w:ascii="宋体" w:hAnsi="宋体" w:cs="宋体"/>
                <w:color w:val="auto"/>
                <w:sz w:val="21"/>
                <w:szCs w:val="21"/>
                <w:lang w:eastAsia="zh-CN"/>
              </w:rPr>
              <w:t>；</w:t>
            </w:r>
          </w:p>
          <w:p w14:paraId="6B093F43">
            <w:pPr>
              <w:pStyle w:val="11"/>
              <w:spacing w:line="360" w:lineRule="auto"/>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具备ITSS信息技术服务运行维护标准符合性成熟度</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二级或以上</w:t>
            </w:r>
            <w:r>
              <w:rPr>
                <w:rFonts w:hint="eastAsia" w:ascii="宋体" w:hAnsi="宋体" w:cs="宋体"/>
                <w:color w:val="auto"/>
                <w:sz w:val="21"/>
                <w:szCs w:val="21"/>
                <w:lang w:eastAsia="zh-CN"/>
              </w:rPr>
              <w:t>）</w:t>
            </w:r>
            <w:r>
              <w:rPr>
                <w:rFonts w:hint="eastAsia" w:ascii="宋体" w:hAnsi="宋体" w:cs="宋体"/>
                <w:color w:val="auto"/>
                <w:sz w:val="21"/>
                <w:szCs w:val="21"/>
              </w:rPr>
              <w:t>认证证书</w:t>
            </w:r>
          </w:p>
          <w:p w14:paraId="5BEE6EE3">
            <w:pPr>
              <w:pStyle w:val="11"/>
              <w:spacing w:line="360" w:lineRule="auto"/>
              <w:rPr>
                <w:rFonts w:ascii="宋体" w:hAnsi="宋体" w:cs="宋体"/>
                <w:color w:val="auto"/>
                <w:sz w:val="21"/>
                <w:szCs w:val="21"/>
              </w:rPr>
            </w:pPr>
            <w:r>
              <w:rPr>
                <w:rFonts w:hint="eastAsia" w:ascii="宋体" w:hAnsi="宋体" w:cs="宋体"/>
                <w:color w:val="auto"/>
                <w:sz w:val="21"/>
                <w:szCs w:val="21"/>
              </w:rPr>
              <w:t>每提供一个证书得</w:t>
            </w:r>
            <w:r>
              <w:rPr>
                <w:rFonts w:hint="eastAsia" w:ascii="宋体" w:hAnsi="宋体" w:cs="宋体"/>
                <w:color w:val="auto"/>
                <w:sz w:val="21"/>
                <w:szCs w:val="21"/>
                <w:lang w:val="en-US" w:eastAsia="zh-CN"/>
              </w:rPr>
              <w:t>2</w:t>
            </w:r>
            <w:r>
              <w:rPr>
                <w:rFonts w:hint="eastAsia" w:ascii="宋体" w:hAnsi="宋体" w:cs="宋体"/>
                <w:color w:val="auto"/>
                <w:sz w:val="21"/>
                <w:szCs w:val="21"/>
              </w:rPr>
              <w:t>分，最高得</w:t>
            </w:r>
            <w:r>
              <w:rPr>
                <w:rFonts w:hint="eastAsia" w:ascii="宋体" w:hAnsi="宋体" w:cs="宋体"/>
                <w:color w:val="auto"/>
                <w:sz w:val="21"/>
                <w:szCs w:val="21"/>
                <w:lang w:val="en-US" w:eastAsia="zh-CN"/>
              </w:rPr>
              <w:t>12</w:t>
            </w:r>
            <w:r>
              <w:rPr>
                <w:rFonts w:hint="eastAsia" w:ascii="宋体" w:hAnsi="宋体" w:cs="宋体"/>
                <w:color w:val="auto"/>
                <w:sz w:val="21"/>
                <w:szCs w:val="21"/>
              </w:rPr>
              <w:t>分。</w:t>
            </w:r>
          </w:p>
          <w:p w14:paraId="2814A035">
            <w:pPr>
              <w:pStyle w:val="11"/>
              <w:spacing w:line="360" w:lineRule="auto"/>
              <w:rPr>
                <w:rFonts w:ascii="宋体" w:hAnsi="宋体" w:cs="宋体"/>
                <w:color w:val="auto"/>
                <w:sz w:val="21"/>
                <w:szCs w:val="21"/>
              </w:rPr>
            </w:pPr>
            <w:r>
              <w:rPr>
                <w:rFonts w:hint="eastAsia" w:ascii="宋体" w:hAnsi="宋体" w:cs="宋体"/>
                <w:color w:val="auto"/>
                <w:sz w:val="21"/>
                <w:szCs w:val="21"/>
              </w:rPr>
              <w:t>注：须提供</w:t>
            </w:r>
            <w:r>
              <w:rPr>
                <w:rFonts w:hint="eastAsia" w:ascii="宋体" w:hAnsi="宋体" w:cs="宋体"/>
                <w:color w:val="auto"/>
                <w:sz w:val="21"/>
                <w:szCs w:val="21"/>
                <w:lang w:val="en-US" w:eastAsia="zh-CN"/>
              </w:rPr>
              <w:t>有效期内的</w:t>
            </w:r>
            <w:r>
              <w:rPr>
                <w:rFonts w:hint="eastAsia" w:ascii="宋体" w:hAnsi="宋体" w:cs="宋体"/>
                <w:color w:val="auto"/>
                <w:sz w:val="21"/>
                <w:szCs w:val="21"/>
              </w:rPr>
              <w:t>证书复印件。</w:t>
            </w:r>
          </w:p>
        </w:tc>
        <w:tc>
          <w:tcPr>
            <w:tcW w:w="389" w:type="pct"/>
            <w:tcBorders>
              <w:tl2br w:val="nil"/>
              <w:tr2bl w:val="nil"/>
            </w:tcBorders>
            <w:vAlign w:val="center"/>
          </w:tcPr>
          <w:p w14:paraId="106F0D3C">
            <w:pPr>
              <w:spacing w:line="360" w:lineRule="auto"/>
              <w:ind w:left="-78" w:leftChars="-37" w:right="-73" w:rightChars="-35"/>
              <w:jc w:val="center"/>
              <w:rPr>
                <w:rFonts w:ascii="宋体" w:cs="宋体"/>
                <w:color w:val="auto"/>
              </w:rPr>
            </w:pPr>
            <w:r>
              <w:rPr>
                <w:rFonts w:hint="eastAsia" w:ascii="宋体" w:cs="宋体"/>
                <w:color w:val="auto"/>
                <w:lang w:val="en-US" w:eastAsia="zh-CN"/>
              </w:rPr>
              <w:t>12</w:t>
            </w:r>
            <w:r>
              <w:rPr>
                <w:rFonts w:hint="eastAsia" w:ascii="宋体" w:cs="宋体"/>
                <w:color w:val="auto"/>
              </w:rPr>
              <w:t>%</w:t>
            </w:r>
          </w:p>
        </w:tc>
        <w:tc>
          <w:tcPr>
            <w:tcW w:w="467" w:type="pct"/>
            <w:tcBorders>
              <w:tl2br w:val="nil"/>
              <w:tr2bl w:val="nil"/>
            </w:tcBorders>
            <w:vAlign w:val="center"/>
          </w:tcPr>
          <w:p w14:paraId="070A4AFB">
            <w:pPr>
              <w:spacing w:line="360" w:lineRule="auto"/>
              <w:ind w:left="-78" w:leftChars="-37" w:right="-73" w:rightChars="-35"/>
              <w:jc w:val="center"/>
              <w:rPr>
                <w:rFonts w:ascii="宋体" w:cs="宋体"/>
                <w:color w:val="auto"/>
              </w:rPr>
            </w:pPr>
            <w:r>
              <w:rPr>
                <w:rFonts w:hint="eastAsia" w:ascii="宋体" w:cs="宋体"/>
                <w:color w:val="auto"/>
                <w:lang w:val="en-US" w:eastAsia="zh-CN"/>
              </w:rPr>
              <w:t>12</w:t>
            </w:r>
            <w:r>
              <w:rPr>
                <w:rFonts w:hint="eastAsia" w:ascii="宋体" w:cs="宋体"/>
                <w:color w:val="auto"/>
              </w:rPr>
              <w:t>分</w:t>
            </w:r>
          </w:p>
        </w:tc>
      </w:tr>
      <w:tr w14:paraId="606685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5" w:hRule="atLeast"/>
        </w:trPr>
        <w:tc>
          <w:tcPr>
            <w:tcW w:w="319" w:type="pct"/>
            <w:tcBorders>
              <w:tl2br w:val="nil"/>
              <w:tr2bl w:val="nil"/>
            </w:tcBorders>
            <w:shd w:val="clear" w:color="auto" w:fill="auto"/>
            <w:vAlign w:val="center"/>
          </w:tcPr>
          <w:p w14:paraId="50053835">
            <w:pPr>
              <w:pStyle w:val="10"/>
              <w:numPr>
                <w:ilvl w:val="0"/>
                <w:numId w:val="2"/>
              </w:numPr>
              <w:ind w:firstLineChars="0"/>
              <w:jc w:val="center"/>
              <w:rPr>
                <w:rFonts w:ascii="宋体" w:eastAsia="宋体" w:cs="宋体" w:hAnsiTheme="minorHAnsi"/>
                <w:bCs/>
                <w:color w:val="auto"/>
                <w:kern w:val="2"/>
                <w:sz w:val="21"/>
                <w:szCs w:val="21"/>
                <w:lang w:val="en-US" w:eastAsia="zh-CN" w:bidi="ar-SA"/>
              </w:rPr>
            </w:pPr>
          </w:p>
        </w:tc>
        <w:tc>
          <w:tcPr>
            <w:tcW w:w="936" w:type="pct"/>
            <w:tcBorders>
              <w:tl2br w:val="nil"/>
              <w:tr2bl w:val="nil"/>
            </w:tcBorders>
            <w:shd w:val="clear" w:color="auto" w:fill="auto"/>
            <w:vAlign w:val="center"/>
          </w:tcPr>
          <w:p w14:paraId="0A66A159">
            <w:pPr>
              <w:pStyle w:val="11"/>
              <w:spacing w:line="360" w:lineRule="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rPr>
              <w:t>项目负责人</w:t>
            </w:r>
          </w:p>
        </w:tc>
        <w:tc>
          <w:tcPr>
            <w:tcW w:w="2887" w:type="pct"/>
            <w:tcBorders>
              <w:tl2br w:val="nil"/>
              <w:tr2bl w:val="nil"/>
            </w:tcBorders>
            <w:shd w:val="clear" w:color="auto" w:fill="auto"/>
            <w:vAlign w:val="top"/>
          </w:tcPr>
          <w:p w14:paraId="254B7F54">
            <w:pPr>
              <w:pStyle w:val="11"/>
              <w:spacing w:line="360" w:lineRule="auto"/>
              <w:rPr>
                <w:rFonts w:ascii="宋体" w:hAnsi="宋体" w:cs="宋体"/>
                <w:color w:val="auto"/>
                <w:sz w:val="21"/>
                <w:szCs w:val="21"/>
              </w:rPr>
            </w:pPr>
            <w:r>
              <w:rPr>
                <w:rFonts w:hint="eastAsia" w:ascii="宋体" w:hAnsi="宋体" w:cs="宋体"/>
                <w:color w:val="auto"/>
                <w:sz w:val="21"/>
                <w:szCs w:val="21"/>
              </w:rPr>
              <w:t>项目负责人（限1名）：</w:t>
            </w:r>
          </w:p>
          <w:p w14:paraId="20578929">
            <w:pPr>
              <w:pStyle w:val="11"/>
              <w:numPr>
                <w:ilvl w:val="0"/>
                <w:numId w:val="3"/>
              </w:num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具备本科以上学历，得1分；</w:t>
            </w:r>
          </w:p>
          <w:p w14:paraId="23680B60">
            <w:pPr>
              <w:pStyle w:val="11"/>
              <w:numPr>
                <w:ilvl w:val="0"/>
                <w:numId w:val="3"/>
              </w:numPr>
              <w:spacing w:line="360" w:lineRule="auto"/>
              <w:rPr>
                <w:rFonts w:ascii="宋体" w:hAnsi="宋体" w:cs="宋体"/>
                <w:color w:val="auto"/>
                <w:sz w:val="21"/>
                <w:szCs w:val="21"/>
              </w:rPr>
            </w:pPr>
            <w:r>
              <w:rPr>
                <w:rFonts w:hint="eastAsia" w:ascii="宋体" w:hAnsi="宋体" w:cs="宋体"/>
                <w:color w:val="auto"/>
                <w:sz w:val="21"/>
                <w:szCs w:val="21"/>
              </w:rPr>
              <w:t>具备国家有关部门颁发的计算机技术及软件专业技术高级资格证书的，得</w:t>
            </w:r>
            <w:r>
              <w:rPr>
                <w:rFonts w:ascii="宋体" w:hAnsi="宋体" w:cs="宋体"/>
                <w:color w:val="auto"/>
                <w:sz w:val="21"/>
                <w:szCs w:val="21"/>
              </w:rPr>
              <w:t>5</w:t>
            </w:r>
            <w:r>
              <w:rPr>
                <w:rFonts w:hint="eastAsia" w:ascii="宋体" w:hAnsi="宋体" w:cs="宋体"/>
                <w:color w:val="auto"/>
                <w:sz w:val="21"/>
                <w:szCs w:val="21"/>
              </w:rPr>
              <w:t>分。</w:t>
            </w:r>
          </w:p>
          <w:p w14:paraId="5AC7168C">
            <w:pPr>
              <w:pStyle w:val="11"/>
              <w:spacing w:line="360" w:lineRule="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rPr>
              <w:t>注：需同时提供①由人力资源和社会保障部或国家工信部颁发的对应有效证书复印件及②响应文件提交截止时间前6个月内任意一个月（含响应文件提交截止时间当月）在供应商单位的社保证明复印件。</w:t>
            </w:r>
          </w:p>
        </w:tc>
        <w:tc>
          <w:tcPr>
            <w:tcW w:w="389" w:type="pct"/>
            <w:tcBorders>
              <w:tl2br w:val="nil"/>
              <w:tr2bl w:val="nil"/>
            </w:tcBorders>
            <w:shd w:val="clear" w:color="auto" w:fill="auto"/>
            <w:vAlign w:val="center"/>
          </w:tcPr>
          <w:p w14:paraId="49BDF8B2">
            <w:pPr>
              <w:widowControl/>
              <w:spacing w:line="360" w:lineRule="auto"/>
              <w:jc w:val="center"/>
              <w:rPr>
                <w:rFonts w:hint="eastAsia" w:ascii="宋体" w:cs="宋体" w:hAnsiTheme="minorHAnsi" w:eastAsiaTheme="minorEastAsia"/>
                <w:color w:val="auto"/>
                <w:sz w:val="21"/>
                <w:szCs w:val="22"/>
                <w:lang w:val="en-US" w:eastAsia="zh-CN" w:bidi="ar-SA"/>
              </w:rPr>
            </w:pPr>
            <w:r>
              <w:rPr>
                <w:rFonts w:hint="eastAsia" w:ascii="宋体" w:cs="宋体"/>
                <w:color w:val="auto"/>
                <w:lang w:val="en-US" w:eastAsia="zh-CN"/>
              </w:rPr>
              <w:t>6</w:t>
            </w:r>
            <w:r>
              <w:rPr>
                <w:rFonts w:hint="eastAsia" w:ascii="宋体" w:cs="宋体"/>
                <w:color w:val="auto"/>
              </w:rPr>
              <w:t>%</w:t>
            </w:r>
          </w:p>
        </w:tc>
        <w:tc>
          <w:tcPr>
            <w:tcW w:w="467" w:type="pct"/>
            <w:tcBorders>
              <w:tl2br w:val="nil"/>
              <w:tr2bl w:val="nil"/>
            </w:tcBorders>
            <w:shd w:val="clear" w:color="auto" w:fill="auto"/>
            <w:vAlign w:val="center"/>
          </w:tcPr>
          <w:p w14:paraId="211430FF">
            <w:pPr>
              <w:widowControl/>
              <w:spacing w:line="360" w:lineRule="auto"/>
              <w:jc w:val="center"/>
              <w:rPr>
                <w:rFonts w:hint="eastAsia" w:ascii="宋体" w:cs="宋体" w:hAnsiTheme="minorHAnsi" w:eastAsiaTheme="minorEastAsia"/>
                <w:color w:val="auto"/>
                <w:sz w:val="21"/>
                <w:szCs w:val="22"/>
                <w:lang w:val="en-US" w:eastAsia="zh-CN" w:bidi="ar-SA"/>
              </w:rPr>
            </w:pPr>
            <w:r>
              <w:rPr>
                <w:rFonts w:hint="eastAsia" w:ascii="宋体" w:cs="宋体"/>
                <w:color w:val="auto"/>
                <w:lang w:val="en-US" w:eastAsia="zh-CN"/>
              </w:rPr>
              <w:t>6</w:t>
            </w:r>
            <w:r>
              <w:rPr>
                <w:rFonts w:hint="eastAsia" w:ascii="宋体" w:cs="宋体"/>
                <w:color w:val="auto"/>
              </w:rPr>
              <w:t>分</w:t>
            </w:r>
          </w:p>
        </w:tc>
      </w:tr>
      <w:tr w14:paraId="4BB6F9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5" w:hRule="atLeast"/>
        </w:trPr>
        <w:tc>
          <w:tcPr>
            <w:tcW w:w="319" w:type="pct"/>
            <w:tcBorders>
              <w:tl2br w:val="nil"/>
              <w:tr2bl w:val="nil"/>
            </w:tcBorders>
            <w:shd w:val="clear" w:color="auto" w:fill="auto"/>
            <w:vAlign w:val="center"/>
          </w:tcPr>
          <w:p w14:paraId="1A5AC56E">
            <w:pPr>
              <w:pStyle w:val="10"/>
              <w:numPr>
                <w:ilvl w:val="0"/>
                <w:numId w:val="2"/>
              </w:numPr>
              <w:ind w:left="420" w:leftChars="0" w:hanging="420" w:firstLineChars="0"/>
              <w:jc w:val="center"/>
              <w:rPr>
                <w:rFonts w:ascii="宋体" w:eastAsia="宋体" w:cs="宋体" w:hAnsiTheme="minorHAnsi"/>
                <w:bCs/>
                <w:color w:val="auto"/>
                <w:kern w:val="2"/>
                <w:sz w:val="21"/>
                <w:szCs w:val="21"/>
                <w:lang w:val="en-US" w:eastAsia="zh-CN" w:bidi="ar-SA"/>
              </w:rPr>
            </w:pPr>
          </w:p>
        </w:tc>
        <w:tc>
          <w:tcPr>
            <w:tcW w:w="936" w:type="pct"/>
            <w:tcBorders>
              <w:tl2br w:val="nil"/>
              <w:tr2bl w:val="nil"/>
            </w:tcBorders>
            <w:shd w:val="clear" w:color="auto" w:fill="auto"/>
            <w:vAlign w:val="center"/>
          </w:tcPr>
          <w:p w14:paraId="25985F0C">
            <w:pPr>
              <w:pStyle w:val="11"/>
              <w:spacing w:line="360" w:lineRule="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rPr>
              <w:t>服务团队</w:t>
            </w:r>
          </w:p>
        </w:tc>
        <w:tc>
          <w:tcPr>
            <w:tcW w:w="2887" w:type="pct"/>
            <w:tcBorders>
              <w:tl2br w:val="nil"/>
              <w:tr2bl w:val="nil"/>
            </w:tcBorders>
            <w:shd w:val="clear" w:color="auto" w:fill="auto"/>
            <w:vAlign w:val="top"/>
          </w:tcPr>
          <w:p w14:paraId="1337545D">
            <w:pPr>
              <w:pStyle w:val="11"/>
              <w:spacing w:line="360" w:lineRule="auto"/>
              <w:rPr>
                <w:rFonts w:ascii="宋体" w:hAnsi="宋体" w:cs="宋体"/>
                <w:color w:val="auto"/>
                <w:sz w:val="21"/>
                <w:szCs w:val="21"/>
              </w:rPr>
            </w:pPr>
            <w:r>
              <w:rPr>
                <w:rFonts w:hint="eastAsia" w:ascii="宋体" w:hAnsi="宋体" w:cs="宋体"/>
                <w:color w:val="auto"/>
                <w:sz w:val="21"/>
                <w:szCs w:val="21"/>
              </w:rPr>
              <w:t>服务团队（不含项目负责人）：</w:t>
            </w:r>
          </w:p>
          <w:p w14:paraId="2E49F154">
            <w:pPr>
              <w:pStyle w:val="11"/>
              <w:spacing w:line="360" w:lineRule="auto"/>
              <w:rPr>
                <w:rFonts w:ascii="宋体" w:hAnsi="宋体" w:cs="宋体"/>
                <w:color w:val="auto"/>
                <w:sz w:val="21"/>
                <w:szCs w:val="21"/>
              </w:rPr>
            </w:pPr>
            <w:r>
              <w:rPr>
                <w:rFonts w:hint="eastAsia" w:ascii="宋体" w:hAnsi="宋体" w:cs="宋体"/>
                <w:color w:val="auto"/>
                <w:sz w:val="21"/>
                <w:szCs w:val="21"/>
              </w:rPr>
              <w:t>1.具备国家有关部门颁发的计算机技术及软件专业技术中级资格证书的，每提供一人，得1分；</w:t>
            </w:r>
          </w:p>
          <w:p w14:paraId="1F70185D">
            <w:pPr>
              <w:pStyle w:val="11"/>
              <w:spacing w:line="360" w:lineRule="auto"/>
              <w:rPr>
                <w:rFonts w:ascii="宋体" w:hAnsi="宋体" w:cs="宋体"/>
                <w:color w:val="auto"/>
                <w:sz w:val="21"/>
                <w:szCs w:val="21"/>
              </w:rPr>
            </w:pPr>
            <w:r>
              <w:rPr>
                <w:rFonts w:hint="eastAsia" w:ascii="宋体" w:hAnsi="宋体" w:cs="宋体"/>
                <w:color w:val="auto"/>
                <w:sz w:val="21"/>
                <w:szCs w:val="21"/>
              </w:rPr>
              <w:t>2.具备国家有关部门颁发的计算机技术及软件专业技术高级资格证书的，每提供一人，得2分。</w:t>
            </w:r>
          </w:p>
          <w:p w14:paraId="34B17409">
            <w:pPr>
              <w:pStyle w:val="11"/>
              <w:spacing w:line="360" w:lineRule="auto"/>
              <w:rPr>
                <w:rFonts w:ascii="宋体" w:hAnsi="宋体" w:cs="宋体"/>
                <w:color w:val="auto"/>
                <w:sz w:val="21"/>
                <w:szCs w:val="21"/>
              </w:rPr>
            </w:pPr>
            <w:r>
              <w:rPr>
                <w:rFonts w:hint="eastAsia" w:ascii="宋体" w:hAnsi="宋体" w:cs="宋体"/>
                <w:color w:val="auto"/>
                <w:sz w:val="21"/>
                <w:szCs w:val="21"/>
              </w:rPr>
              <w:t>本项最高得6分。</w:t>
            </w:r>
          </w:p>
          <w:p w14:paraId="4CF6AAA3">
            <w:pPr>
              <w:pStyle w:val="11"/>
              <w:spacing w:line="360" w:lineRule="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rPr>
              <w:t>注：同一人员不同证书不重复计分。需同时提供①由人力资源和社会保障部或国家工信部颁发的对应有效证书复印件及②响应文件提交截止时间前6个月内任意一个月（含响应文件提交截止时间当月）在供应商单位的社保证明复印件。</w:t>
            </w:r>
          </w:p>
        </w:tc>
        <w:tc>
          <w:tcPr>
            <w:tcW w:w="389" w:type="pct"/>
            <w:tcBorders>
              <w:tl2br w:val="nil"/>
              <w:tr2bl w:val="nil"/>
            </w:tcBorders>
            <w:shd w:val="clear" w:color="auto" w:fill="auto"/>
            <w:vAlign w:val="center"/>
          </w:tcPr>
          <w:p w14:paraId="4091DA50">
            <w:pPr>
              <w:widowControl/>
              <w:spacing w:line="360" w:lineRule="auto"/>
              <w:jc w:val="center"/>
              <w:rPr>
                <w:rFonts w:hint="eastAsia" w:ascii="宋体" w:cs="宋体" w:hAnsiTheme="minorHAnsi" w:eastAsiaTheme="minorEastAsia"/>
                <w:color w:val="auto"/>
                <w:sz w:val="21"/>
                <w:szCs w:val="22"/>
                <w:lang w:val="en-US" w:eastAsia="zh-CN" w:bidi="ar-SA"/>
              </w:rPr>
            </w:pPr>
            <w:r>
              <w:rPr>
                <w:rFonts w:hint="eastAsia" w:ascii="宋体" w:cs="宋体"/>
                <w:color w:val="auto"/>
              </w:rPr>
              <w:t>6%</w:t>
            </w:r>
          </w:p>
        </w:tc>
        <w:tc>
          <w:tcPr>
            <w:tcW w:w="467" w:type="pct"/>
            <w:tcBorders>
              <w:tl2br w:val="nil"/>
              <w:tr2bl w:val="nil"/>
            </w:tcBorders>
            <w:shd w:val="clear" w:color="auto" w:fill="auto"/>
            <w:vAlign w:val="center"/>
          </w:tcPr>
          <w:p w14:paraId="13033A34">
            <w:pPr>
              <w:widowControl/>
              <w:spacing w:line="360" w:lineRule="auto"/>
              <w:jc w:val="center"/>
              <w:rPr>
                <w:rFonts w:hint="eastAsia" w:ascii="宋体" w:cs="宋体" w:hAnsiTheme="minorHAnsi" w:eastAsiaTheme="minorEastAsia"/>
                <w:color w:val="auto"/>
                <w:sz w:val="21"/>
                <w:szCs w:val="22"/>
                <w:lang w:val="en-US" w:eastAsia="zh-CN" w:bidi="ar-SA"/>
              </w:rPr>
            </w:pPr>
            <w:r>
              <w:rPr>
                <w:rFonts w:hint="eastAsia" w:ascii="宋体" w:cs="宋体"/>
                <w:color w:val="auto"/>
              </w:rPr>
              <w:t>6分</w:t>
            </w:r>
          </w:p>
        </w:tc>
      </w:tr>
      <w:tr w14:paraId="3E6996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4" w:hRule="atLeast"/>
        </w:trPr>
        <w:tc>
          <w:tcPr>
            <w:tcW w:w="319" w:type="pct"/>
            <w:tcBorders>
              <w:tl2br w:val="nil"/>
              <w:tr2bl w:val="nil"/>
            </w:tcBorders>
            <w:vAlign w:val="center"/>
          </w:tcPr>
          <w:p w14:paraId="58FEB982">
            <w:pPr>
              <w:jc w:val="center"/>
              <w:rPr>
                <w:rFonts w:ascii="宋体" w:cs="宋体"/>
                <w:b/>
                <w:color w:val="auto"/>
              </w:rPr>
            </w:pPr>
            <w:r>
              <w:rPr>
                <w:rFonts w:hint="eastAsia" w:ascii="宋体" w:cs="宋体"/>
                <w:b/>
                <w:color w:val="auto"/>
              </w:rPr>
              <w:t>二</w:t>
            </w:r>
          </w:p>
        </w:tc>
        <w:tc>
          <w:tcPr>
            <w:tcW w:w="4680" w:type="pct"/>
            <w:gridSpan w:val="4"/>
            <w:tcBorders>
              <w:tl2br w:val="nil"/>
              <w:tr2bl w:val="nil"/>
            </w:tcBorders>
            <w:vAlign w:val="center"/>
          </w:tcPr>
          <w:p w14:paraId="17522777">
            <w:pPr>
              <w:ind w:left="-78" w:leftChars="-37" w:right="-73" w:rightChars="-35"/>
              <w:jc w:val="center"/>
              <w:rPr>
                <w:rFonts w:ascii="宋体" w:cs="宋体"/>
                <w:b/>
                <w:color w:val="auto"/>
              </w:rPr>
            </w:pPr>
            <w:r>
              <w:rPr>
                <w:rFonts w:hint="eastAsia" w:ascii="宋体" w:cs="宋体"/>
                <w:b/>
                <w:color w:val="auto"/>
              </w:rPr>
              <w:t>技术部分(合计</w:t>
            </w:r>
            <w:r>
              <w:rPr>
                <w:rFonts w:hint="eastAsia" w:ascii="宋体" w:cs="宋体"/>
                <w:b/>
                <w:color w:val="auto"/>
                <w:lang w:val="en-US" w:eastAsia="zh-CN"/>
              </w:rPr>
              <w:t>50</w:t>
            </w:r>
            <w:r>
              <w:rPr>
                <w:rFonts w:hint="eastAsia" w:ascii="宋体" w:cs="宋体"/>
                <w:b/>
                <w:color w:val="auto"/>
              </w:rPr>
              <w:t>分)</w:t>
            </w:r>
          </w:p>
        </w:tc>
      </w:tr>
      <w:tr w14:paraId="69FDB0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3" w:hRule="atLeast"/>
        </w:trPr>
        <w:tc>
          <w:tcPr>
            <w:tcW w:w="319" w:type="pct"/>
            <w:tcBorders>
              <w:tl2br w:val="nil"/>
              <w:tr2bl w:val="nil"/>
            </w:tcBorders>
            <w:vAlign w:val="center"/>
          </w:tcPr>
          <w:p w14:paraId="1EE986DA">
            <w:pPr>
              <w:pStyle w:val="10"/>
              <w:numPr>
                <w:ilvl w:val="0"/>
                <w:numId w:val="2"/>
              </w:numPr>
              <w:ind w:firstLineChars="0"/>
              <w:jc w:val="center"/>
              <w:rPr>
                <w:rFonts w:ascii="宋体" w:eastAsia="宋体" w:cs="宋体"/>
                <w:color w:val="auto"/>
                <w:sz w:val="21"/>
                <w:szCs w:val="21"/>
              </w:rPr>
            </w:pPr>
          </w:p>
        </w:tc>
        <w:tc>
          <w:tcPr>
            <w:tcW w:w="936" w:type="pct"/>
            <w:tcBorders>
              <w:tl2br w:val="nil"/>
              <w:tr2bl w:val="nil"/>
            </w:tcBorders>
            <w:vAlign w:val="center"/>
          </w:tcPr>
          <w:p w14:paraId="0E31F7D9">
            <w:pPr>
              <w:pStyle w:val="11"/>
              <w:spacing w:line="360" w:lineRule="auto"/>
              <w:rPr>
                <w:rFonts w:ascii="宋体" w:hAnsi="宋体" w:cs="宋体"/>
                <w:color w:val="auto"/>
                <w:sz w:val="21"/>
                <w:szCs w:val="21"/>
              </w:rPr>
            </w:pPr>
            <w:r>
              <w:rPr>
                <w:rFonts w:hint="eastAsia" w:ascii="宋体" w:hAnsi="宋体" w:cs="宋体"/>
                <w:color w:val="auto"/>
                <w:sz w:val="21"/>
                <w:szCs w:val="21"/>
              </w:rPr>
              <w:t>用户需求响应</w:t>
            </w:r>
          </w:p>
        </w:tc>
        <w:tc>
          <w:tcPr>
            <w:tcW w:w="2887" w:type="pct"/>
            <w:tcBorders>
              <w:tl2br w:val="nil"/>
              <w:tr2bl w:val="nil"/>
            </w:tcBorders>
          </w:tcPr>
          <w:p w14:paraId="4AAC9196">
            <w:pPr>
              <w:pStyle w:val="11"/>
              <w:spacing w:line="360" w:lineRule="auto"/>
              <w:rPr>
                <w:rFonts w:ascii="宋体" w:hAnsi="宋体" w:cs="宋体"/>
                <w:color w:val="auto"/>
                <w:sz w:val="21"/>
                <w:szCs w:val="21"/>
              </w:rPr>
            </w:pPr>
            <w:r>
              <w:rPr>
                <w:rFonts w:hint="eastAsia" w:ascii="宋体" w:hAnsi="宋体" w:cs="宋体"/>
                <w:color w:val="auto"/>
                <w:sz w:val="21"/>
                <w:szCs w:val="21"/>
              </w:rPr>
              <w:t>根据供应商对</w:t>
            </w:r>
            <w:r>
              <w:rPr>
                <w:rFonts w:hint="eastAsia" w:ascii="宋体" w:hAnsi="宋体" w:cs="宋体"/>
                <w:color w:val="auto"/>
                <w:sz w:val="21"/>
                <w:szCs w:val="21"/>
                <w:lang w:val="en-US" w:eastAsia="zh-CN"/>
              </w:rPr>
              <w:t>第三部分</w:t>
            </w:r>
            <w:r>
              <w:rPr>
                <w:rFonts w:hint="eastAsia" w:ascii="宋体" w:hAnsi="宋体" w:cs="宋体"/>
                <w:color w:val="auto"/>
                <w:sz w:val="21"/>
                <w:szCs w:val="21"/>
              </w:rPr>
              <w:t>“三、</w:t>
            </w:r>
            <w:r>
              <w:rPr>
                <w:rFonts w:hint="eastAsia" w:ascii="宋体" w:hAnsi="宋体" w:cs="宋体"/>
                <w:color w:val="auto"/>
                <w:sz w:val="21"/>
                <w:szCs w:val="21"/>
                <w:lang w:val="en-US" w:eastAsia="zh-CN"/>
              </w:rPr>
              <w:t>技术需求</w:t>
            </w:r>
            <w:r>
              <w:rPr>
                <w:rFonts w:hint="eastAsia" w:ascii="宋体" w:hAnsi="宋体" w:cs="宋体"/>
                <w:color w:val="auto"/>
                <w:sz w:val="21"/>
                <w:szCs w:val="21"/>
              </w:rPr>
              <w:t>”的响应情况进行评审，共20小项，</w:t>
            </w:r>
            <w:r>
              <w:rPr>
                <w:rFonts w:hint="eastAsia" w:ascii="宋体" w:hAnsi="宋体" w:cs="宋体"/>
                <w:color w:val="auto"/>
                <w:sz w:val="21"/>
                <w:szCs w:val="21"/>
                <w:lang w:val="en-US" w:eastAsia="zh-CN"/>
              </w:rPr>
              <w:t>标▲项为重要参数项条款，</w:t>
            </w:r>
            <w:r>
              <w:rPr>
                <w:rFonts w:hint="eastAsia" w:ascii="宋体" w:hAnsi="宋体" w:cs="宋体"/>
                <w:color w:val="auto"/>
                <w:sz w:val="21"/>
                <w:szCs w:val="21"/>
              </w:rPr>
              <w:t>每有一</w:t>
            </w:r>
            <w:r>
              <w:rPr>
                <w:rFonts w:hint="eastAsia" w:ascii="宋体" w:hAnsi="宋体" w:cs="宋体"/>
                <w:color w:val="auto"/>
                <w:sz w:val="21"/>
                <w:szCs w:val="21"/>
                <w:lang w:val="en-US" w:eastAsia="zh-CN"/>
              </w:rPr>
              <w:t>条重要参数项</w:t>
            </w:r>
            <w:r>
              <w:rPr>
                <w:rFonts w:hint="eastAsia" w:ascii="宋体" w:hAnsi="宋体" w:cs="宋体"/>
                <w:color w:val="auto"/>
                <w:sz w:val="21"/>
                <w:szCs w:val="21"/>
              </w:rPr>
              <w:t>不响应或负偏离的，扣</w:t>
            </w:r>
            <w:r>
              <w:rPr>
                <w:rFonts w:hint="eastAsia" w:ascii="宋体" w:hAnsi="宋体" w:cs="宋体"/>
                <w:color w:val="auto"/>
                <w:sz w:val="21"/>
                <w:szCs w:val="21"/>
                <w:lang w:val="en-US" w:eastAsia="zh-CN"/>
              </w:rPr>
              <w:t>3</w:t>
            </w:r>
            <w:r>
              <w:rPr>
                <w:rFonts w:hint="eastAsia" w:ascii="宋体" w:hAnsi="宋体" w:cs="宋体"/>
                <w:color w:val="auto"/>
                <w:sz w:val="21"/>
                <w:szCs w:val="21"/>
              </w:rPr>
              <w:t>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非标▲项、★项为一般参数项，每有一条一般参数项不响应或负偏离的，扣1分</w:t>
            </w:r>
            <w:r>
              <w:rPr>
                <w:rFonts w:hint="eastAsia" w:ascii="宋体" w:hAnsi="宋体" w:cs="宋体"/>
                <w:color w:val="auto"/>
                <w:sz w:val="21"/>
                <w:szCs w:val="21"/>
              </w:rPr>
              <w:t>。</w:t>
            </w:r>
          </w:p>
          <w:p w14:paraId="6855BFDB">
            <w:pPr>
              <w:pStyle w:val="11"/>
              <w:spacing w:line="360" w:lineRule="auto"/>
              <w:rPr>
                <w:rFonts w:ascii="宋体" w:hAnsi="宋体" w:cs="宋体"/>
                <w:color w:val="auto"/>
                <w:sz w:val="21"/>
                <w:szCs w:val="21"/>
              </w:rPr>
            </w:pPr>
            <w:r>
              <w:rPr>
                <w:rFonts w:hint="eastAsia" w:ascii="宋体" w:hAnsi="宋体" w:cs="宋体"/>
                <w:color w:val="auto"/>
                <w:sz w:val="21"/>
                <w:szCs w:val="21"/>
              </w:rPr>
              <w:t>本项最高得1</w:t>
            </w:r>
            <w:r>
              <w:rPr>
                <w:rFonts w:hint="eastAsia" w:ascii="宋体" w:hAnsi="宋体" w:cs="宋体"/>
                <w:color w:val="auto"/>
                <w:sz w:val="21"/>
                <w:szCs w:val="21"/>
                <w:lang w:val="en-US" w:eastAsia="zh-CN"/>
              </w:rPr>
              <w:t>8</w:t>
            </w:r>
            <w:r>
              <w:rPr>
                <w:rFonts w:hint="eastAsia" w:ascii="宋体" w:hAnsi="宋体" w:cs="宋体"/>
                <w:color w:val="auto"/>
                <w:sz w:val="21"/>
                <w:szCs w:val="21"/>
              </w:rPr>
              <w:t>分，最低0分。</w:t>
            </w:r>
          </w:p>
          <w:p w14:paraId="4987A363">
            <w:pPr>
              <w:pStyle w:val="11"/>
              <w:spacing w:line="360" w:lineRule="auto"/>
              <w:rPr>
                <w:rFonts w:ascii="宋体" w:hAnsi="宋体" w:cs="宋体"/>
                <w:color w:val="auto"/>
                <w:sz w:val="21"/>
                <w:szCs w:val="21"/>
              </w:rPr>
            </w:pPr>
            <w:r>
              <w:rPr>
                <w:rFonts w:hint="eastAsia" w:ascii="宋体" w:hAnsi="宋体" w:cs="宋体"/>
                <w:color w:val="auto"/>
                <w:sz w:val="21"/>
                <w:szCs w:val="21"/>
              </w:rPr>
              <w:t>注：以供应商的响应文件《用户需求条款响应一览表》中的响应描述填写内容为准，未填写或不满足的视为负偏离。</w:t>
            </w:r>
          </w:p>
        </w:tc>
        <w:tc>
          <w:tcPr>
            <w:tcW w:w="389" w:type="pct"/>
            <w:tcBorders>
              <w:tl2br w:val="nil"/>
              <w:tr2bl w:val="nil"/>
            </w:tcBorders>
            <w:vAlign w:val="center"/>
          </w:tcPr>
          <w:p w14:paraId="29FCBFCA">
            <w:pPr>
              <w:widowControl/>
              <w:spacing w:line="360" w:lineRule="auto"/>
              <w:jc w:val="center"/>
              <w:rPr>
                <w:rFonts w:ascii="宋体" w:cs="宋体"/>
                <w:color w:val="auto"/>
              </w:rPr>
            </w:pPr>
            <w:r>
              <w:rPr>
                <w:rFonts w:hint="eastAsia" w:ascii="宋体" w:cs="宋体"/>
                <w:color w:val="auto"/>
              </w:rPr>
              <w:t>1</w:t>
            </w:r>
            <w:r>
              <w:rPr>
                <w:rFonts w:hint="eastAsia" w:ascii="宋体" w:cs="宋体"/>
                <w:color w:val="auto"/>
                <w:lang w:val="en-US" w:eastAsia="zh-CN"/>
              </w:rPr>
              <w:t>8</w:t>
            </w:r>
            <w:r>
              <w:rPr>
                <w:rFonts w:hint="eastAsia" w:ascii="宋体" w:cs="宋体"/>
                <w:color w:val="auto"/>
              </w:rPr>
              <w:t>%</w:t>
            </w:r>
          </w:p>
        </w:tc>
        <w:tc>
          <w:tcPr>
            <w:tcW w:w="467" w:type="pct"/>
            <w:tcBorders>
              <w:tl2br w:val="nil"/>
              <w:tr2bl w:val="nil"/>
            </w:tcBorders>
            <w:vAlign w:val="center"/>
          </w:tcPr>
          <w:p w14:paraId="2B2C945D">
            <w:pPr>
              <w:widowControl/>
              <w:spacing w:line="360" w:lineRule="auto"/>
              <w:jc w:val="center"/>
              <w:rPr>
                <w:rFonts w:ascii="宋体" w:cs="宋体"/>
                <w:color w:val="auto"/>
              </w:rPr>
            </w:pPr>
            <w:r>
              <w:rPr>
                <w:rFonts w:hint="eastAsia" w:ascii="宋体" w:cs="宋体"/>
                <w:color w:val="auto"/>
              </w:rPr>
              <w:t>1</w:t>
            </w:r>
            <w:r>
              <w:rPr>
                <w:rFonts w:hint="eastAsia" w:ascii="宋体" w:cs="宋体"/>
                <w:color w:val="auto"/>
                <w:lang w:val="en-US" w:eastAsia="zh-CN"/>
              </w:rPr>
              <w:t>8</w:t>
            </w:r>
            <w:r>
              <w:rPr>
                <w:rFonts w:hint="eastAsia" w:ascii="宋体" w:cs="宋体"/>
                <w:color w:val="auto"/>
              </w:rPr>
              <w:t>分</w:t>
            </w:r>
          </w:p>
        </w:tc>
      </w:tr>
      <w:tr w14:paraId="7DA182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3" w:hRule="atLeast"/>
        </w:trPr>
        <w:tc>
          <w:tcPr>
            <w:tcW w:w="319" w:type="pct"/>
            <w:tcBorders>
              <w:tl2br w:val="nil"/>
              <w:tr2bl w:val="nil"/>
            </w:tcBorders>
            <w:vAlign w:val="center"/>
          </w:tcPr>
          <w:p w14:paraId="6BB3BEB5">
            <w:pPr>
              <w:pStyle w:val="10"/>
              <w:numPr>
                <w:ilvl w:val="0"/>
                <w:numId w:val="2"/>
              </w:numPr>
              <w:ind w:firstLineChars="0"/>
              <w:jc w:val="center"/>
              <w:rPr>
                <w:rFonts w:ascii="宋体" w:eastAsia="宋体" w:cs="宋体"/>
                <w:color w:val="auto"/>
                <w:sz w:val="21"/>
                <w:szCs w:val="21"/>
              </w:rPr>
            </w:pPr>
          </w:p>
        </w:tc>
        <w:tc>
          <w:tcPr>
            <w:tcW w:w="936" w:type="pct"/>
            <w:tcBorders>
              <w:tl2br w:val="nil"/>
              <w:tr2bl w:val="nil"/>
            </w:tcBorders>
            <w:vAlign w:val="center"/>
          </w:tcPr>
          <w:p w14:paraId="07778A02">
            <w:pPr>
              <w:pStyle w:val="11"/>
              <w:spacing w:line="360" w:lineRule="auto"/>
              <w:rPr>
                <w:rFonts w:ascii="宋体" w:hAnsi="宋体" w:cs="宋体"/>
                <w:color w:val="auto"/>
                <w:sz w:val="21"/>
                <w:szCs w:val="21"/>
              </w:rPr>
            </w:pPr>
            <w:r>
              <w:rPr>
                <w:rFonts w:hint="eastAsia" w:ascii="宋体" w:hAnsi="宋体" w:cs="宋体"/>
                <w:color w:val="auto"/>
                <w:sz w:val="21"/>
                <w:szCs w:val="21"/>
              </w:rPr>
              <w:t>实施方案1</w:t>
            </w:r>
          </w:p>
        </w:tc>
        <w:tc>
          <w:tcPr>
            <w:tcW w:w="2887" w:type="pct"/>
            <w:tcBorders>
              <w:tl2br w:val="nil"/>
              <w:tr2bl w:val="nil"/>
            </w:tcBorders>
          </w:tcPr>
          <w:p w14:paraId="04143896">
            <w:pPr>
              <w:pStyle w:val="11"/>
              <w:spacing w:line="360" w:lineRule="auto"/>
              <w:rPr>
                <w:rFonts w:ascii="宋体" w:hAnsi="宋体" w:cs="宋体"/>
                <w:color w:val="auto"/>
                <w:sz w:val="21"/>
                <w:szCs w:val="21"/>
              </w:rPr>
            </w:pPr>
            <w:r>
              <w:rPr>
                <w:rFonts w:hint="eastAsia" w:ascii="宋体" w:hAnsi="宋体" w:cs="宋体"/>
                <w:color w:val="auto"/>
                <w:sz w:val="21"/>
                <w:szCs w:val="21"/>
              </w:rPr>
              <w:t>供应商根据本项目提供的实施方案包括但不限于：①实施计划、②人员安排、③应急措施等。方案中每包含上述一项内容得1分，本项最高得3分。不提供或其他情况不得分。本小项不得分，则实施方案2均不得分。</w:t>
            </w:r>
          </w:p>
        </w:tc>
        <w:tc>
          <w:tcPr>
            <w:tcW w:w="389" w:type="pct"/>
            <w:tcBorders>
              <w:tl2br w:val="nil"/>
              <w:tr2bl w:val="nil"/>
            </w:tcBorders>
            <w:vAlign w:val="center"/>
          </w:tcPr>
          <w:p w14:paraId="4FCCE67D">
            <w:pPr>
              <w:widowControl/>
              <w:spacing w:line="360" w:lineRule="auto"/>
              <w:jc w:val="center"/>
              <w:rPr>
                <w:rFonts w:ascii="宋体" w:cs="宋体"/>
                <w:color w:val="auto"/>
              </w:rPr>
            </w:pPr>
            <w:r>
              <w:rPr>
                <w:rFonts w:hint="eastAsia" w:ascii="宋体" w:cs="宋体"/>
                <w:color w:val="auto"/>
              </w:rPr>
              <w:t>3%</w:t>
            </w:r>
          </w:p>
        </w:tc>
        <w:tc>
          <w:tcPr>
            <w:tcW w:w="467" w:type="pct"/>
            <w:tcBorders>
              <w:tl2br w:val="nil"/>
              <w:tr2bl w:val="nil"/>
            </w:tcBorders>
            <w:vAlign w:val="center"/>
          </w:tcPr>
          <w:p w14:paraId="142B22FF">
            <w:pPr>
              <w:widowControl/>
              <w:spacing w:line="360" w:lineRule="auto"/>
              <w:jc w:val="center"/>
              <w:rPr>
                <w:rFonts w:ascii="宋体" w:cs="宋体"/>
                <w:color w:val="auto"/>
              </w:rPr>
            </w:pPr>
            <w:r>
              <w:rPr>
                <w:rFonts w:hint="eastAsia" w:ascii="宋体" w:cs="宋体"/>
                <w:color w:val="auto"/>
              </w:rPr>
              <w:t>3分</w:t>
            </w:r>
          </w:p>
        </w:tc>
      </w:tr>
      <w:tr w14:paraId="2BF246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6" w:hRule="atLeast"/>
        </w:trPr>
        <w:tc>
          <w:tcPr>
            <w:tcW w:w="319" w:type="pct"/>
            <w:tcBorders>
              <w:tl2br w:val="nil"/>
              <w:tr2bl w:val="nil"/>
            </w:tcBorders>
            <w:vAlign w:val="center"/>
          </w:tcPr>
          <w:p w14:paraId="3A9C4606">
            <w:pPr>
              <w:pStyle w:val="10"/>
              <w:numPr>
                <w:ilvl w:val="0"/>
                <w:numId w:val="2"/>
              </w:numPr>
              <w:ind w:firstLineChars="0"/>
              <w:jc w:val="center"/>
              <w:rPr>
                <w:rFonts w:ascii="宋体" w:eastAsia="宋体" w:cs="宋体"/>
                <w:color w:val="auto"/>
                <w:sz w:val="21"/>
                <w:szCs w:val="21"/>
              </w:rPr>
            </w:pPr>
          </w:p>
        </w:tc>
        <w:tc>
          <w:tcPr>
            <w:tcW w:w="936" w:type="pct"/>
            <w:tcBorders>
              <w:tl2br w:val="nil"/>
              <w:tr2bl w:val="nil"/>
            </w:tcBorders>
            <w:vAlign w:val="center"/>
          </w:tcPr>
          <w:p w14:paraId="10F3CBBA">
            <w:pPr>
              <w:pStyle w:val="11"/>
              <w:spacing w:line="360" w:lineRule="auto"/>
              <w:rPr>
                <w:rFonts w:ascii="宋体" w:hAnsi="宋体" w:cs="宋体"/>
                <w:color w:val="auto"/>
                <w:sz w:val="21"/>
                <w:szCs w:val="21"/>
              </w:rPr>
            </w:pPr>
            <w:r>
              <w:rPr>
                <w:rFonts w:hint="eastAsia" w:ascii="宋体" w:hAnsi="宋体" w:cs="宋体"/>
                <w:color w:val="auto"/>
                <w:sz w:val="21"/>
                <w:szCs w:val="21"/>
              </w:rPr>
              <w:t>实施方案2</w:t>
            </w:r>
          </w:p>
        </w:tc>
        <w:tc>
          <w:tcPr>
            <w:tcW w:w="2887" w:type="pct"/>
            <w:tcBorders>
              <w:tl2br w:val="nil"/>
              <w:tr2bl w:val="nil"/>
            </w:tcBorders>
          </w:tcPr>
          <w:p w14:paraId="58997A1A">
            <w:pPr>
              <w:pStyle w:val="11"/>
              <w:spacing w:line="360" w:lineRule="auto"/>
              <w:rPr>
                <w:rFonts w:ascii="宋体" w:hAnsi="宋体" w:cs="宋体"/>
                <w:color w:val="auto"/>
                <w:sz w:val="21"/>
                <w:szCs w:val="21"/>
              </w:rPr>
            </w:pPr>
            <w:r>
              <w:rPr>
                <w:rFonts w:hint="eastAsia" w:ascii="宋体" w:hAnsi="宋体" w:cs="宋体"/>
                <w:color w:val="auto"/>
                <w:sz w:val="21"/>
                <w:szCs w:val="21"/>
              </w:rPr>
              <w:t>在“实施方案1”内容基础上，对供应商提供的方案内容进行详细评审：</w:t>
            </w:r>
          </w:p>
          <w:p w14:paraId="29F0D74A">
            <w:pPr>
              <w:pStyle w:val="11"/>
              <w:spacing w:line="360" w:lineRule="auto"/>
              <w:rPr>
                <w:rFonts w:ascii="宋体" w:hAnsi="宋体" w:cs="宋体"/>
                <w:color w:val="auto"/>
                <w:sz w:val="21"/>
                <w:szCs w:val="21"/>
              </w:rPr>
            </w:pPr>
            <w:r>
              <w:rPr>
                <w:rFonts w:hint="eastAsia" w:ascii="宋体" w:hAnsi="宋体" w:cs="宋体"/>
                <w:color w:val="auto"/>
                <w:sz w:val="21"/>
                <w:szCs w:val="21"/>
              </w:rPr>
              <w:t>1.实施计划详尽、有逻辑，人员安排合理、充足，应急措施符合实际、有针对性，完全满足并优于用户需求的，得12分；</w:t>
            </w:r>
          </w:p>
          <w:p w14:paraId="4F15D9C8">
            <w:pPr>
              <w:pStyle w:val="11"/>
              <w:spacing w:line="360" w:lineRule="auto"/>
              <w:rPr>
                <w:rFonts w:ascii="宋体" w:hAnsi="宋体" w:cs="宋体"/>
                <w:color w:val="auto"/>
                <w:sz w:val="21"/>
                <w:szCs w:val="21"/>
              </w:rPr>
            </w:pPr>
            <w:r>
              <w:rPr>
                <w:rFonts w:hint="eastAsia" w:ascii="宋体" w:hAnsi="宋体" w:cs="宋体"/>
                <w:color w:val="auto"/>
                <w:sz w:val="21"/>
                <w:szCs w:val="21"/>
              </w:rPr>
              <w:t>2.实施计划较详细，人员安排较合理，应急措施较有针对性，完全满足用户需求的，得8分；</w:t>
            </w:r>
          </w:p>
          <w:p w14:paraId="06B9FAC8">
            <w:pPr>
              <w:pStyle w:val="11"/>
              <w:spacing w:line="360" w:lineRule="auto"/>
              <w:rPr>
                <w:rFonts w:ascii="宋体" w:hAnsi="宋体" w:cs="宋体"/>
                <w:color w:val="auto"/>
                <w:sz w:val="21"/>
                <w:szCs w:val="21"/>
              </w:rPr>
            </w:pPr>
            <w:r>
              <w:rPr>
                <w:rFonts w:hint="eastAsia" w:ascii="宋体" w:hAnsi="宋体" w:cs="宋体"/>
                <w:color w:val="auto"/>
                <w:sz w:val="21"/>
                <w:szCs w:val="21"/>
              </w:rPr>
              <w:t>3.实施计划不够详细，人员安排不合理，应急措施无针对性，仅能满足部分用户需求的，得4分；</w:t>
            </w:r>
          </w:p>
          <w:p w14:paraId="412F5744">
            <w:pPr>
              <w:pStyle w:val="11"/>
              <w:spacing w:line="360" w:lineRule="auto"/>
              <w:rPr>
                <w:rFonts w:ascii="宋体" w:hAnsi="宋体" w:cs="宋体"/>
                <w:color w:val="auto"/>
                <w:sz w:val="21"/>
                <w:szCs w:val="21"/>
              </w:rPr>
            </w:pPr>
            <w:r>
              <w:rPr>
                <w:rFonts w:hint="eastAsia" w:ascii="宋体" w:hAnsi="宋体" w:cs="宋体"/>
                <w:color w:val="auto"/>
                <w:sz w:val="21"/>
                <w:szCs w:val="21"/>
              </w:rPr>
              <w:t>4.无法满足用户需求或不提供不得分。</w:t>
            </w:r>
          </w:p>
        </w:tc>
        <w:tc>
          <w:tcPr>
            <w:tcW w:w="389" w:type="pct"/>
            <w:tcBorders>
              <w:tl2br w:val="nil"/>
              <w:tr2bl w:val="nil"/>
            </w:tcBorders>
            <w:vAlign w:val="center"/>
          </w:tcPr>
          <w:p w14:paraId="06E5F015">
            <w:pPr>
              <w:widowControl/>
              <w:spacing w:line="360" w:lineRule="auto"/>
              <w:jc w:val="center"/>
              <w:rPr>
                <w:rFonts w:ascii="宋体" w:cs="宋体"/>
                <w:color w:val="auto"/>
              </w:rPr>
            </w:pPr>
            <w:r>
              <w:rPr>
                <w:rFonts w:hint="eastAsia" w:ascii="宋体" w:cs="宋体"/>
                <w:color w:val="auto"/>
              </w:rPr>
              <w:t>12%</w:t>
            </w:r>
          </w:p>
        </w:tc>
        <w:tc>
          <w:tcPr>
            <w:tcW w:w="467" w:type="pct"/>
            <w:tcBorders>
              <w:tl2br w:val="nil"/>
              <w:tr2bl w:val="nil"/>
            </w:tcBorders>
            <w:vAlign w:val="center"/>
          </w:tcPr>
          <w:p w14:paraId="5F81B544">
            <w:pPr>
              <w:widowControl/>
              <w:spacing w:line="360" w:lineRule="auto"/>
              <w:jc w:val="center"/>
              <w:rPr>
                <w:rFonts w:ascii="宋体" w:cs="宋体"/>
                <w:color w:val="auto"/>
              </w:rPr>
            </w:pPr>
            <w:r>
              <w:rPr>
                <w:rFonts w:hint="eastAsia" w:ascii="宋体" w:cs="宋体"/>
                <w:color w:val="auto"/>
              </w:rPr>
              <w:t>12分</w:t>
            </w:r>
          </w:p>
        </w:tc>
      </w:tr>
      <w:tr w14:paraId="3D87A6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3" w:hRule="atLeast"/>
        </w:trPr>
        <w:tc>
          <w:tcPr>
            <w:tcW w:w="319" w:type="pct"/>
            <w:tcBorders>
              <w:tl2br w:val="nil"/>
              <w:tr2bl w:val="nil"/>
            </w:tcBorders>
            <w:vAlign w:val="center"/>
          </w:tcPr>
          <w:p w14:paraId="3A52D6BF">
            <w:pPr>
              <w:pStyle w:val="10"/>
              <w:numPr>
                <w:ilvl w:val="0"/>
                <w:numId w:val="2"/>
              </w:numPr>
              <w:ind w:firstLineChars="0"/>
              <w:jc w:val="center"/>
              <w:rPr>
                <w:rFonts w:ascii="宋体" w:eastAsia="宋体" w:cs="宋体"/>
                <w:color w:val="auto"/>
                <w:sz w:val="21"/>
                <w:szCs w:val="21"/>
              </w:rPr>
            </w:pPr>
          </w:p>
        </w:tc>
        <w:tc>
          <w:tcPr>
            <w:tcW w:w="936" w:type="pct"/>
            <w:tcBorders>
              <w:tl2br w:val="nil"/>
              <w:tr2bl w:val="nil"/>
            </w:tcBorders>
            <w:shd w:val="clear" w:color="auto" w:fill="auto"/>
            <w:vAlign w:val="center"/>
          </w:tcPr>
          <w:p w14:paraId="51001F7F">
            <w:pPr>
              <w:pStyle w:val="11"/>
              <w:spacing w:line="360" w:lineRule="auto"/>
              <w:rPr>
                <w:rFonts w:ascii="宋体" w:hAnsi="宋体" w:cs="宋体"/>
                <w:color w:val="auto"/>
                <w:sz w:val="21"/>
                <w:szCs w:val="21"/>
              </w:rPr>
            </w:pPr>
            <w:r>
              <w:rPr>
                <w:rFonts w:hint="eastAsia" w:ascii="宋体" w:hAnsi="宋体" w:cs="宋体"/>
                <w:color w:val="auto"/>
                <w:sz w:val="21"/>
                <w:szCs w:val="21"/>
              </w:rPr>
              <w:t>服务保障方案1</w:t>
            </w:r>
          </w:p>
        </w:tc>
        <w:tc>
          <w:tcPr>
            <w:tcW w:w="2887" w:type="pct"/>
            <w:tcBorders>
              <w:tl2br w:val="nil"/>
              <w:tr2bl w:val="nil"/>
            </w:tcBorders>
          </w:tcPr>
          <w:p w14:paraId="14E7A712">
            <w:pPr>
              <w:pStyle w:val="11"/>
              <w:spacing w:line="360" w:lineRule="auto"/>
              <w:rPr>
                <w:rFonts w:ascii="宋体" w:hAnsi="宋体" w:cs="宋体"/>
                <w:color w:val="auto"/>
                <w:sz w:val="21"/>
                <w:szCs w:val="21"/>
              </w:rPr>
            </w:pPr>
            <w:r>
              <w:rPr>
                <w:rFonts w:hint="eastAsia" w:ascii="宋体" w:hAnsi="宋体" w:cs="宋体"/>
                <w:color w:val="auto"/>
                <w:sz w:val="21"/>
                <w:szCs w:val="21"/>
              </w:rPr>
              <w:t>供应商根据本项目《第四章 用户需求书》中“五、服务要求”“七、质保服务”，提供的服务保障方案包括但不限于：①服务质量保证措施、②合理化建议等。方案中每包含上述一项内容得1分，本项最高得2分。不提供或其他情况不得分。本小项不得分，则服务保障方案2均不得分。</w:t>
            </w:r>
          </w:p>
        </w:tc>
        <w:tc>
          <w:tcPr>
            <w:tcW w:w="389" w:type="pct"/>
            <w:tcBorders>
              <w:tl2br w:val="nil"/>
              <w:tr2bl w:val="nil"/>
            </w:tcBorders>
            <w:vAlign w:val="center"/>
          </w:tcPr>
          <w:p w14:paraId="7356FC78">
            <w:pPr>
              <w:widowControl/>
              <w:spacing w:line="360" w:lineRule="auto"/>
              <w:jc w:val="center"/>
              <w:rPr>
                <w:rFonts w:ascii="宋体" w:cs="宋体"/>
                <w:color w:val="auto"/>
              </w:rPr>
            </w:pPr>
            <w:r>
              <w:rPr>
                <w:rFonts w:hint="eastAsia" w:ascii="宋体" w:cs="宋体"/>
                <w:color w:val="auto"/>
              </w:rPr>
              <w:t>2%</w:t>
            </w:r>
          </w:p>
        </w:tc>
        <w:tc>
          <w:tcPr>
            <w:tcW w:w="467" w:type="pct"/>
            <w:tcBorders>
              <w:tl2br w:val="nil"/>
              <w:tr2bl w:val="nil"/>
            </w:tcBorders>
            <w:vAlign w:val="center"/>
          </w:tcPr>
          <w:p w14:paraId="49B785E8">
            <w:pPr>
              <w:widowControl/>
              <w:spacing w:line="360" w:lineRule="auto"/>
              <w:jc w:val="center"/>
              <w:rPr>
                <w:rFonts w:ascii="宋体" w:cs="宋体"/>
                <w:color w:val="auto"/>
              </w:rPr>
            </w:pPr>
            <w:r>
              <w:rPr>
                <w:rFonts w:hint="eastAsia" w:ascii="宋体" w:cs="宋体"/>
                <w:color w:val="auto"/>
              </w:rPr>
              <w:t>2分</w:t>
            </w:r>
          </w:p>
        </w:tc>
      </w:tr>
      <w:tr w14:paraId="6567BA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3" w:hRule="atLeast"/>
        </w:trPr>
        <w:tc>
          <w:tcPr>
            <w:tcW w:w="319" w:type="pct"/>
            <w:tcBorders>
              <w:tl2br w:val="nil"/>
              <w:tr2bl w:val="nil"/>
            </w:tcBorders>
            <w:vAlign w:val="center"/>
          </w:tcPr>
          <w:p w14:paraId="1667A7C6">
            <w:pPr>
              <w:pStyle w:val="10"/>
              <w:numPr>
                <w:ilvl w:val="0"/>
                <w:numId w:val="2"/>
              </w:numPr>
              <w:ind w:firstLineChars="0"/>
              <w:jc w:val="center"/>
              <w:rPr>
                <w:rFonts w:ascii="宋体" w:eastAsia="宋体" w:cs="宋体"/>
                <w:color w:val="auto"/>
                <w:sz w:val="21"/>
                <w:szCs w:val="21"/>
              </w:rPr>
            </w:pPr>
          </w:p>
        </w:tc>
        <w:tc>
          <w:tcPr>
            <w:tcW w:w="936" w:type="pct"/>
            <w:tcBorders>
              <w:tl2br w:val="nil"/>
              <w:tr2bl w:val="nil"/>
            </w:tcBorders>
            <w:shd w:val="clear" w:color="auto" w:fill="auto"/>
            <w:vAlign w:val="center"/>
          </w:tcPr>
          <w:p w14:paraId="5DA3CA9C">
            <w:pPr>
              <w:pStyle w:val="11"/>
              <w:spacing w:line="360" w:lineRule="auto"/>
              <w:rPr>
                <w:rFonts w:ascii="宋体" w:hAnsi="宋体" w:cs="宋体"/>
                <w:color w:val="auto"/>
                <w:sz w:val="21"/>
                <w:szCs w:val="21"/>
              </w:rPr>
            </w:pPr>
            <w:r>
              <w:rPr>
                <w:rFonts w:hint="eastAsia" w:ascii="宋体" w:hAnsi="宋体" w:cs="宋体"/>
                <w:color w:val="auto"/>
                <w:sz w:val="21"/>
                <w:szCs w:val="21"/>
              </w:rPr>
              <w:t>服务保障方案2</w:t>
            </w:r>
          </w:p>
        </w:tc>
        <w:tc>
          <w:tcPr>
            <w:tcW w:w="2887" w:type="pct"/>
            <w:tcBorders>
              <w:tl2br w:val="nil"/>
              <w:tr2bl w:val="nil"/>
            </w:tcBorders>
          </w:tcPr>
          <w:p w14:paraId="3A91916A">
            <w:pPr>
              <w:pStyle w:val="11"/>
              <w:spacing w:line="360" w:lineRule="auto"/>
              <w:rPr>
                <w:rFonts w:ascii="宋体" w:hAnsi="宋体" w:cs="宋体"/>
                <w:color w:val="auto"/>
                <w:sz w:val="21"/>
                <w:szCs w:val="21"/>
              </w:rPr>
            </w:pPr>
            <w:r>
              <w:rPr>
                <w:rFonts w:hint="eastAsia" w:ascii="宋体" w:hAnsi="宋体" w:cs="宋体"/>
                <w:color w:val="auto"/>
                <w:sz w:val="21"/>
                <w:szCs w:val="21"/>
              </w:rPr>
              <w:t>在“服务保障方案1”内容基础上，对供应商提供的方案内容进行详细评审：</w:t>
            </w:r>
          </w:p>
          <w:p w14:paraId="59A3C5DB">
            <w:pPr>
              <w:pStyle w:val="11"/>
              <w:spacing w:line="360" w:lineRule="auto"/>
              <w:rPr>
                <w:rFonts w:ascii="宋体" w:hAnsi="宋体" w:cs="宋体"/>
                <w:color w:val="auto"/>
                <w:sz w:val="21"/>
                <w:szCs w:val="21"/>
              </w:rPr>
            </w:pPr>
            <w:r>
              <w:rPr>
                <w:rFonts w:hint="eastAsia" w:ascii="宋体" w:hAnsi="宋体" w:cs="宋体"/>
                <w:color w:val="auto"/>
                <w:sz w:val="21"/>
                <w:szCs w:val="21"/>
              </w:rPr>
              <w:t>1.服务质量保证措施全面具体、可行性高，合理化建议符合实际、针对性强，完全满足并优于用户需求的，得8分；</w:t>
            </w:r>
          </w:p>
          <w:p w14:paraId="5DABE338">
            <w:pPr>
              <w:pStyle w:val="11"/>
              <w:spacing w:line="360" w:lineRule="auto"/>
              <w:rPr>
                <w:rFonts w:ascii="宋体" w:hAnsi="宋体" w:cs="宋体"/>
                <w:color w:val="auto"/>
                <w:sz w:val="21"/>
                <w:szCs w:val="21"/>
              </w:rPr>
            </w:pPr>
            <w:r>
              <w:rPr>
                <w:rFonts w:hint="eastAsia" w:ascii="宋体" w:hAnsi="宋体" w:cs="宋体"/>
                <w:color w:val="auto"/>
                <w:sz w:val="21"/>
                <w:szCs w:val="21"/>
              </w:rPr>
              <w:t>2.服务质量保证措施可行性较高，合理化建议较有针对性，完全满足用户需求的，得5分；</w:t>
            </w:r>
          </w:p>
          <w:p w14:paraId="697CD2DE">
            <w:pPr>
              <w:pStyle w:val="11"/>
              <w:spacing w:line="360" w:lineRule="auto"/>
              <w:rPr>
                <w:rFonts w:ascii="宋体" w:hAnsi="宋体" w:cs="宋体"/>
                <w:color w:val="auto"/>
                <w:sz w:val="21"/>
                <w:szCs w:val="21"/>
              </w:rPr>
            </w:pPr>
            <w:r>
              <w:rPr>
                <w:rFonts w:hint="eastAsia" w:ascii="宋体" w:hAnsi="宋体" w:cs="宋体"/>
                <w:color w:val="auto"/>
                <w:sz w:val="21"/>
                <w:szCs w:val="21"/>
              </w:rPr>
              <w:t>3.服务质量保证措施可行性较低，合理化建议无针对性，仅能满足部分用户需求的，得2分；</w:t>
            </w:r>
          </w:p>
          <w:p w14:paraId="43FD7BE8">
            <w:pPr>
              <w:pStyle w:val="11"/>
              <w:spacing w:line="360" w:lineRule="auto"/>
              <w:rPr>
                <w:rFonts w:ascii="宋体" w:hAnsi="宋体" w:cs="宋体"/>
                <w:color w:val="auto"/>
                <w:sz w:val="21"/>
                <w:szCs w:val="21"/>
              </w:rPr>
            </w:pPr>
            <w:r>
              <w:rPr>
                <w:rFonts w:hint="eastAsia" w:ascii="宋体" w:hAnsi="宋体" w:cs="宋体"/>
                <w:color w:val="auto"/>
                <w:sz w:val="21"/>
                <w:szCs w:val="21"/>
              </w:rPr>
              <w:t>4.无法满足用户需求或不提供不得分。</w:t>
            </w:r>
          </w:p>
        </w:tc>
        <w:tc>
          <w:tcPr>
            <w:tcW w:w="389" w:type="pct"/>
            <w:tcBorders>
              <w:tl2br w:val="nil"/>
              <w:tr2bl w:val="nil"/>
            </w:tcBorders>
            <w:vAlign w:val="center"/>
          </w:tcPr>
          <w:p w14:paraId="1B58CE8A">
            <w:pPr>
              <w:widowControl/>
              <w:spacing w:line="360" w:lineRule="auto"/>
              <w:jc w:val="center"/>
              <w:rPr>
                <w:rFonts w:ascii="宋体" w:cs="宋体"/>
                <w:color w:val="auto"/>
              </w:rPr>
            </w:pPr>
            <w:r>
              <w:rPr>
                <w:rFonts w:hint="eastAsia" w:ascii="宋体" w:cs="宋体"/>
                <w:color w:val="auto"/>
              </w:rPr>
              <w:t>8%</w:t>
            </w:r>
          </w:p>
        </w:tc>
        <w:tc>
          <w:tcPr>
            <w:tcW w:w="467" w:type="pct"/>
            <w:tcBorders>
              <w:tl2br w:val="nil"/>
              <w:tr2bl w:val="nil"/>
            </w:tcBorders>
            <w:vAlign w:val="center"/>
          </w:tcPr>
          <w:p w14:paraId="4AE512F4">
            <w:pPr>
              <w:widowControl/>
              <w:spacing w:line="360" w:lineRule="auto"/>
              <w:jc w:val="center"/>
              <w:rPr>
                <w:rFonts w:ascii="宋体" w:cs="宋体"/>
                <w:color w:val="auto"/>
              </w:rPr>
            </w:pPr>
            <w:r>
              <w:rPr>
                <w:rFonts w:hint="eastAsia" w:ascii="宋体" w:cs="宋体"/>
                <w:color w:val="auto"/>
              </w:rPr>
              <w:t>8分</w:t>
            </w:r>
          </w:p>
        </w:tc>
      </w:tr>
      <w:tr w14:paraId="38EA88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3" w:hRule="atLeast"/>
        </w:trPr>
        <w:tc>
          <w:tcPr>
            <w:tcW w:w="319" w:type="pct"/>
            <w:tcBorders>
              <w:tl2br w:val="nil"/>
              <w:tr2bl w:val="nil"/>
            </w:tcBorders>
            <w:vAlign w:val="center"/>
          </w:tcPr>
          <w:p w14:paraId="2092842D">
            <w:pPr>
              <w:pStyle w:val="10"/>
              <w:numPr>
                <w:ilvl w:val="0"/>
                <w:numId w:val="2"/>
              </w:numPr>
              <w:ind w:firstLineChars="0"/>
              <w:jc w:val="center"/>
              <w:rPr>
                <w:rFonts w:ascii="宋体" w:eastAsia="宋体" w:cs="宋体"/>
                <w:color w:val="auto"/>
                <w:sz w:val="21"/>
                <w:szCs w:val="21"/>
              </w:rPr>
            </w:pPr>
          </w:p>
        </w:tc>
        <w:tc>
          <w:tcPr>
            <w:tcW w:w="936" w:type="pct"/>
            <w:tcBorders>
              <w:tl2br w:val="nil"/>
              <w:tr2bl w:val="nil"/>
            </w:tcBorders>
            <w:shd w:val="clear" w:color="auto" w:fill="auto"/>
            <w:vAlign w:val="center"/>
          </w:tcPr>
          <w:p w14:paraId="514CA69F">
            <w:pPr>
              <w:pStyle w:val="11"/>
              <w:spacing w:line="360" w:lineRule="auto"/>
              <w:rPr>
                <w:rFonts w:ascii="宋体" w:hAnsi="宋体" w:cs="宋体"/>
                <w:color w:val="auto"/>
                <w:sz w:val="21"/>
                <w:szCs w:val="21"/>
              </w:rPr>
            </w:pPr>
            <w:r>
              <w:rPr>
                <w:rFonts w:hint="eastAsia" w:ascii="宋体" w:hAnsi="宋体" w:cs="宋体"/>
                <w:color w:val="auto"/>
                <w:sz w:val="21"/>
                <w:szCs w:val="21"/>
              </w:rPr>
              <w:t>运维培训方案1</w:t>
            </w:r>
          </w:p>
        </w:tc>
        <w:tc>
          <w:tcPr>
            <w:tcW w:w="2887" w:type="pct"/>
            <w:tcBorders>
              <w:tl2br w:val="nil"/>
              <w:tr2bl w:val="nil"/>
            </w:tcBorders>
          </w:tcPr>
          <w:p w14:paraId="0F6F2E26">
            <w:pPr>
              <w:pStyle w:val="11"/>
              <w:spacing w:line="360" w:lineRule="auto"/>
              <w:rPr>
                <w:rFonts w:ascii="宋体" w:hAnsi="宋体" w:cs="宋体"/>
                <w:color w:val="auto"/>
                <w:sz w:val="21"/>
                <w:szCs w:val="21"/>
              </w:rPr>
            </w:pPr>
            <w:r>
              <w:rPr>
                <w:rFonts w:hint="eastAsia" w:ascii="宋体" w:hAnsi="宋体" w:cs="宋体"/>
                <w:color w:val="auto"/>
                <w:sz w:val="21"/>
                <w:szCs w:val="21"/>
              </w:rPr>
              <w:t>供应商根据本项目《第四章 用户需求书》中“四、培训服务”，提供的运维培训方案包括但不限于：①运维方案（包含维护方法、技术保障、故障分析与处理等）、②培训方案（包含培训目的、培训课程、培训安排等）等。方案中每完全包含上述一项内容得</w:t>
            </w:r>
            <w:r>
              <w:rPr>
                <w:rFonts w:hint="eastAsia" w:ascii="宋体" w:hAnsi="宋体" w:cs="宋体"/>
                <w:color w:val="auto"/>
                <w:sz w:val="21"/>
                <w:szCs w:val="21"/>
                <w:lang w:val="en-US" w:eastAsia="zh-CN"/>
              </w:rPr>
              <w:t>1</w:t>
            </w:r>
            <w:r>
              <w:rPr>
                <w:rFonts w:hint="eastAsia" w:ascii="宋体" w:hAnsi="宋体" w:cs="宋体"/>
                <w:color w:val="auto"/>
                <w:sz w:val="21"/>
                <w:szCs w:val="21"/>
              </w:rPr>
              <w:t>分，本项最高得</w:t>
            </w:r>
            <w:r>
              <w:rPr>
                <w:rFonts w:hint="eastAsia" w:ascii="宋体" w:hAnsi="宋体" w:cs="宋体"/>
                <w:color w:val="auto"/>
                <w:sz w:val="21"/>
                <w:szCs w:val="21"/>
                <w:lang w:val="en-US" w:eastAsia="zh-CN"/>
              </w:rPr>
              <w:t>2</w:t>
            </w:r>
            <w:r>
              <w:rPr>
                <w:rFonts w:hint="eastAsia" w:ascii="宋体" w:hAnsi="宋体" w:cs="宋体"/>
                <w:color w:val="auto"/>
                <w:sz w:val="21"/>
                <w:szCs w:val="21"/>
              </w:rPr>
              <w:t>分。不提供或其他情况不得分。本小项不得分，则运维培训方案2均不得分。</w:t>
            </w:r>
          </w:p>
        </w:tc>
        <w:tc>
          <w:tcPr>
            <w:tcW w:w="389" w:type="pct"/>
            <w:tcBorders>
              <w:tl2br w:val="nil"/>
              <w:tr2bl w:val="nil"/>
            </w:tcBorders>
            <w:vAlign w:val="center"/>
          </w:tcPr>
          <w:p w14:paraId="352DB3AB">
            <w:pPr>
              <w:widowControl/>
              <w:spacing w:line="360" w:lineRule="auto"/>
              <w:jc w:val="center"/>
              <w:rPr>
                <w:rFonts w:ascii="宋体" w:cs="宋体"/>
                <w:color w:val="auto"/>
              </w:rPr>
            </w:pPr>
            <w:r>
              <w:rPr>
                <w:rFonts w:hint="eastAsia" w:ascii="宋体" w:cs="宋体"/>
                <w:color w:val="auto"/>
                <w:lang w:val="en-US" w:eastAsia="zh-CN"/>
              </w:rPr>
              <w:t>2</w:t>
            </w:r>
            <w:r>
              <w:rPr>
                <w:rFonts w:hint="eastAsia" w:ascii="宋体" w:cs="宋体"/>
                <w:color w:val="auto"/>
              </w:rPr>
              <w:t>%</w:t>
            </w:r>
          </w:p>
        </w:tc>
        <w:tc>
          <w:tcPr>
            <w:tcW w:w="467" w:type="pct"/>
            <w:tcBorders>
              <w:tl2br w:val="nil"/>
              <w:tr2bl w:val="nil"/>
            </w:tcBorders>
            <w:vAlign w:val="center"/>
          </w:tcPr>
          <w:p w14:paraId="467FF38D">
            <w:pPr>
              <w:widowControl/>
              <w:spacing w:line="360" w:lineRule="auto"/>
              <w:jc w:val="center"/>
              <w:rPr>
                <w:rFonts w:ascii="宋体" w:cs="宋体"/>
                <w:color w:val="auto"/>
              </w:rPr>
            </w:pPr>
            <w:r>
              <w:rPr>
                <w:rFonts w:hint="eastAsia" w:ascii="宋体" w:cs="宋体"/>
                <w:color w:val="auto"/>
                <w:lang w:val="en-US" w:eastAsia="zh-CN"/>
              </w:rPr>
              <w:t>2</w:t>
            </w:r>
            <w:r>
              <w:rPr>
                <w:rFonts w:hint="eastAsia" w:ascii="宋体" w:cs="宋体"/>
                <w:color w:val="auto"/>
              </w:rPr>
              <w:t>分</w:t>
            </w:r>
          </w:p>
        </w:tc>
      </w:tr>
      <w:tr w14:paraId="433D59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3" w:hRule="atLeast"/>
        </w:trPr>
        <w:tc>
          <w:tcPr>
            <w:tcW w:w="319" w:type="pct"/>
            <w:tcBorders>
              <w:tl2br w:val="nil"/>
              <w:tr2bl w:val="nil"/>
            </w:tcBorders>
            <w:vAlign w:val="center"/>
          </w:tcPr>
          <w:p w14:paraId="66DC68F1">
            <w:pPr>
              <w:pStyle w:val="10"/>
              <w:numPr>
                <w:ilvl w:val="0"/>
                <w:numId w:val="2"/>
              </w:numPr>
              <w:ind w:firstLineChars="0"/>
              <w:jc w:val="center"/>
              <w:rPr>
                <w:rFonts w:ascii="宋体" w:eastAsia="宋体" w:cs="宋体"/>
                <w:color w:val="auto"/>
                <w:sz w:val="21"/>
                <w:szCs w:val="21"/>
              </w:rPr>
            </w:pPr>
          </w:p>
        </w:tc>
        <w:tc>
          <w:tcPr>
            <w:tcW w:w="936" w:type="pct"/>
            <w:tcBorders>
              <w:tl2br w:val="nil"/>
              <w:tr2bl w:val="nil"/>
            </w:tcBorders>
            <w:shd w:val="clear" w:color="auto" w:fill="auto"/>
            <w:vAlign w:val="center"/>
          </w:tcPr>
          <w:p w14:paraId="21497F0C">
            <w:pPr>
              <w:pStyle w:val="11"/>
              <w:spacing w:line="360" w:lineRule="auto"/>
              <w:rPr>
                <w:rFonts w:ascii="宋体" w:hAnsi="宋体" w:cs="宋体"/>
                <w:color w:val="auto"/>
                <w:sz w:val="21"/>
                <w:szCs w:val="21"/>
              </w:rPr>
            </w:pPr>
            <w:r>
              <w:rPr>
                <w:rFonts w:hint="eastAsia" w:ascii="宋体" w:hAnsi="宋体" w:cs="宋体"/>
                <w:color w:val="auto"/>
                <w:sz w:val="21"/>
                <w:szCs w:val="21"/>
              </w:rPr>
              <w:t>运维培训方案2</w:t>
            </w:r>
          </w:p>
        </w:tc>
        <w:tc>
          <w:tcPr>
            <w:tcW w:w="2887" w:type="pct"/>
            <w:tcBorders>
              <w:tl2br w:val="nil"/>
              <w:tr2bl w:val="nil"/>
            </w:tcBorders>
          </w:tcPr>
          <w:p w14:paraId="5338A89C">
            <w:pPr>
              <w:pStyle w:val="11"/>
              <w:spacing w:line="360" w:lineRule="auto"/>
              <w:rPr>
                <w:rFonts w:ascii="宋体" w:hAnsi="宋体" w:cs="宋体"/>
                <w:color w:val="auto"/>
                <w:sz w:val="21"/>
                <w:szCs w:val="21"/>
              </w:rPr>
            </w:pPr>
            <w:r>
              <w:rPr>
                <w:rFonts w:hint="eastAsia" w:ascii="宋体" w:hAnsi="宋体" w:cs="宋体"/>
                <w:color w:val="auto"/>
                <w:sz w:val="21"/>
                <w:szCs w:val="21"/>
              </w:rPr>
              <w:t>在“运维培训方案1”内容基础上，对供应商提供的方案内容进行详细评审：</w:t>
            </w:r>
          </w:p>
          <w:p w14:paraId="474754DE">
            <w:pPr>
              <w:pStyle w:val="11"/>
              <w:spacing w:line="360" w:lineRule="auto"/>
              <w:rPr>
                <w:rFonts w:ascii="宋体" w:hAnsi="宋体" w:cs="宋体"/>
                <w:color w:val="auto"/>
                <w:sz w:val="21"/>
                <w:szCs w:val="21"/>
              </w:rPr>
            </w:pPr>
            <w:r>
              <w:rPr>
                <w:rFonts w:hint="eastAsia" w:ascii="宋体" w:hAnsi="宋体" w:cs="宋体"/>
                <w:color w:val="auto"/>
                <w:sz w:val="21"/>
                <w:szCs w:val="21"/>
              </w:rPr>
              <w:t>1.运维方案完整详细、对本项目针对性强，培训方案科学合理、贴合实际，完全满足并优于用户需求的，得</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p w14:paraId="20AF6CD0">
            <w:pPr>
              <w:pStyle w:val="11"/>
              <w:spacing w:line="360" w:lineRule="auto"/>
              <w:rPr>
                <w:rFonts w:ascii="宋体" w:hAnsi="宋体" w:cs="宋体"/>
                <w:color w:val="auto"/>
                <w:sz w:val="21"/>
                <w:szCs w:val="21"/>
              </w:rPr>
            </w:pPr>
            <w:r>
              <w:rPr>
                <w:rFonts w:hint="eastAsia" w:ascii="宋体" w:hAnsi="宋体" w:cs="宋体"/>
                <w:color w:val="auto"/>
                <w:sz w:val="21"/>
                <w:szCs w:val="21"/>
              </w:rPr>
              <w:t>2.运维方案较详细、对本项目针对性较强，培训方案较合理、较贴合实际，完全满足用户需求的，</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14:paraId="63859358">
            <w:pPr>
              <w:pStyle w:val="11"/>
              <w:spacing w:line="360" w:lineRule="auto"/>
              <w:rPr>
                <w:rFonts w:ascii="宋体" w:hAnsi="宋体" w:cs="宋体"/>
                <w:color w:val="auto"/>
                <w:sz w:val="21"/>
                <w:szCs w:val="21"/>
              </w:rPr>
            </w:pPr>
            <w:r>
              <w:rPr>
                <w:rFonts w:hint="eastAsia" w:ascii="宋体" w:hAnsi="宋体" w:cs="宋体"/>
                <w:color w:val="auto"/>
                <w:sz w:val="21"/>
                <w:szCs w:val="21"/>
              </w:rPr>
              <w:t>3.运维方案不够详细、对本项目针对性较弱，培训方案不够合理、与实际有出入，仅能满足部分用户需求的，得</w:t>
            </w:r>
            <w:r>
              <w:rPr>
                <w:rFonts w:hint="eastAsia" w:ascii="宋体" w:hAnsi="宋体" w:cs="宋体"/>
                <w:color w:val="auto"/>
                <w:sz w:val="21"/>
                <w:szCs w:val="21"/>
                <w:lang w:val="en-US" w:eastAsia="zh-CN"/>
              </w:rPr>
              <w:t>1</w:t>
            </w:r>
            <w:r>
              <w:rPr>
                <w:rFonts w:hint="eastAsia" w:ascii="宋体" w:hAnsi="宋体" w:cs="宋体"/>
                <w:color w:val="auto"/>
                <w:sz w:val="21"/>
                <w:szCs w:val="21"/>
              </w:rPr>
              <w:t>分；</w:t>
            </w:r>
          </w:p>
          <w:p w14:paraId="08ADBDD8">
            <w:pPr>
              <w:pStyle w:val="11"/>
              <w:spacing w:line="360" w:lineRule="auto"/>
              <w:rPr>
                <w:rFonts w:ascii="宋体" w:hAnsi="宋体" w:cs="宋体"/>
                <w:color w:val="auto"/>
                <w:sz w:val="21"/>
                <w:szCs w:val="21"/>
              </w:rPr>
            </w:pPr>
            <w:r>
              <w:rPr>
                <w:rFonts w:hint="eastAsia" w:ascii="宋体" w:hAnsi="宋体" w:cs="宋体"/>
                <w:color w:val="auto"/>
                <w:sz w:val="21"/>
                <w:szCs w:val="21"/>
              </w:rPr>
              <w:t>4.无法满足用户需求或不提供不得分。</w:t>
            </w:r>
          </w:p>
        </w:tc>
        <w:tc>
          <w:tcPr>
            <w:tcW w:w="389" w:type="pct"/>
            <w:tcBorders>
              <w:tl2br w:val="nil"/>
              <w:tr2bl w:val="nil"/>
            </w:tcBorders>
            <w:vAlign w:val="center"/>
          </w:tcPr>
          <w:p w14:paraId="5E17847C">
            <w:pPr>
              <w:widowControl/>
              <w:spacing w:line="360" w:lineRule="auto"/>
              <w:jc w:val="center"/>
              <w:rPr>
                <w:rFonts w:ascii="宋体" w:cs="宋体"/>
                <w:color w:val="auto"/>
              </w:rPr>
            </w:pPr>
            <w:r>
              <w:rPr>
                <w:rFonts w:hint="eastAsia" w:ascii="宋体" w:cs="宋体"/>
                <w:color w:val="auto"/>
                <w:lang w:val="en-US" w:eastAsia="zh-CN"/>
              </w:rPr>
              <w:t>5</w:t>
            </w:r>
            <w:r>
              <w:rPr>
                <w:rFonts w:hint="eastAsia" w:ascii="宋体" w:cs="宋体"/>
                <w:color w:val="auto"/>
              </w:rPr>
              <w:t>%</w:t>
            </w:r>
          </w:p>
        </w:tc>
        <w:tc>
          <w:tcPr>
            <w:tcW w:w="467" w:type="pct"/>
            <w:tcBorders>
              <w:tl2br w:val="nil"/>
              <w:tr2bl w:val="nil"/>
            </w:tcBorders>
            <w:vAlign w:val="center"/>
          </w:tcPr>
          <w:p w14:paraId="684B97D4">
            <w:pPr>
              <w:widowControl/>
              <w:spacing w:line="360" w:lineRule="auto"/>
              <w:jc w:val="center"/>
              <w:rPr>
                <w:rFonts w:ascii="宋体" w:cs="宋体"/>
                <w:color w:val="auto"/>
              </w:rPr>
            </w:pPr>
            <w:r>
              <w:rPr>
                <w:rFonts w:hint="eastAsia" w:ascii="宋体" w:cs="宋体"/>
                <w:color w:val="auto"/>
                <w:lang w:val="en-US" w:eastAsia="zh-CN"/>
              </w:rPr>
              <w:t>5</w:t>
            </w:r>
            <w:r>
              <w:rPr>
                <w:rFonts w:hint="eastAsia" w:ascii="宋体" w:cs="宋体"/>
                <w:color w:val="auto"/>
              </w:rPr>
              <w:t>分</w:t>
            </w:r>
          </w:p>
        </w:tc>
      </w:tr>
      <w:tr w14:paraId="4879D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319" w:type="pct"/>
            <w:tcBorders>
              <w:tl2br w:val="nil"/>
              <w:tr2bl w:val="nil"/>
            </w:tcBorders>
            <w:vAlign w:val="center"/>
          </w:tcPr>
          <w:p w14:paraId="11912384">
            <w:pPr>
              <w:jc w:val="center"/>
              <w:rPr>
                <w:rFonts w:ascii="宋体" w:cs="宋体"/>
                <w:b/>
                <w:color w:val="auto"/>
              </w:rPr>
            </w:pPr>
            <w:r>
              <w:rPr>
                <w:rFonts w:hint="eastAsia" w:ascii="宋体" w:cs="宋体"/>
                <w:b/>
                <w:color w:val="auto"/>
              </w:rPr>
              <w:t>三</w:t>
            </w:r>
          </w:p>
        </w:tc>
        <w:tc>
          <w:tcPr>
            <w:tcW w:w="4680" w:type="pct"/>
            <w:gridSpan w:val="4"/>
            <w:tcBorders>
              <w:tl2br w:val="nil"/>
              <w:tr2bl w:val="nil"/>
            </w:tcBorders>
            <w:vAlign w:val="center"/>
          </w:tcPr>
          <w:p w14:paraId="5AF1447D">
            <w:pPr>
              <w:ind w:left="-78" w:leftChars="-37" w:right="-73" w:rightChars="-35"/>
              <w:jc w:val="center"/>
              <w:rPr>
                <w:rFonts w:ascii="宋体" w:cs="宋体"/>
                <w:b/>
                <w:color w:val="auto"/>
              </w:rPr>
            </w:pPr>
            <w:r>
              <w:rPr>
                <w:rFonts w:hint="eastAsia" w:ascii="宋体" w:cs="宋体"/>
                <w:b/>
                <w:color w:val="auto"/>
              </w:rPr>
              <w:t>价格部分(合计20分)</w:t>
            </w:r>
          </w:p>
        </w:tc>
      </w:tr>
      <w:tr w14:paraId="3D6126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319" w:type="pct"/>
            <w:tcBorders>
              <w:tl2br w:val="nil"/>
              <w:tr2bl w:val="nil"/>
            </w:tcBorders>
            <w:vAlign w:val="center"/>
          </w:tcPr>
          <w:p w14:paraId="6A966187">
            <w:pPr>
              <w:jc w:val="center"/>
              <w:rPr>
                <w:rFonts w:ascii="宋体" w:cs="宋体"/>
                <w:color w:val="auto"/>
              </w:rPr>
            </w:pPr>
            <w:r>
              <w:rPr>
                <w:rFonts w:hint="eastAsia" w:ascii="宋体" w:cs="宋体"/>
                <w:color w:val="auto"/>
              </w:rPr>
              <w:t>1</w:t>
            </w:r>
          </w:p>
        </w:tc>
        <w:tc>
          <w:tcPr>
            <w:tcW w:w="936" w:type="pct"/>
            <w:tcBorders>
              <w:tl2br w:val="nil"/>
              <w:tr2bl w:val="nil"/>
            </w:tcBorders>
            <w:vAlign w:val="center"/>
          </w:tcPr>
          <w:p w14:paraId="3EC56825">
            <w:pPr>
              <w:jc w:val="center"/>
              <w:rPr>
                <w:rFonts w:ascii="宋体" w:cs="宋体"/>
                <w:color w:val="auto"/>
              </w:rPr>
            </w:pPr>
            <w:r>
              <w:rPr>
                <w:rFonts w:hint="eastAsia" w:ascii="宋体" w:cs="宋体"/>
                <w:color w:val="auto"/>
              </w:rPr>
              <w:t>报价</w:t>
            </w:r>
          </w:p>
        </w:tc>
        <w:tc>
          <w:tcPr>
            <w:tcW w:w="2887" w:type="pct"/>
            <w:tcBorders>
              <w:tl2br w:val="nil"/>
              <w:tr2bl w:val="nil"/>
            </w:tcBorders>
            <w:vAlign w:val="center"/>
          </w:tcPr>
          <w:p w14:paraId="143E9B31">
            <w:pPr>
              <w:snapToGrid w:val="0"/>
              <w:spacing w:before="48" w:beforeLines="20" w:line="312" w:lineRule="auto"/>
              <w:rPr>
                <w:rFonts w:ascii="宋体" w:cs="宋体"/>
                <w:color w:val="auto"/>
              </w:rPr>
            </w:pPr>
            <w:r>
              <w:rPr>
                <w:rFonts w:hint="eastAsia" w:ascii="宋体" w:cs="宋体"/>
                <w:color w:val="auto"/>
              </w:rPr>
              <w:t>价格分应当采用低价优先法计算，即满足</w:t>
            </w:r>
            <w:r>
              <w:rPr>
                <w:rFonts w:hint="eastAsia" w:ascii="宋体" w:cs="宋体"/>
                <w:color w:val="auto"/>
                <w:lang w:val="en-US" w:eastAsia="zh-CN"/>
              </w:rPr>
              <w:t>采购</w:t>
            </w:r>
            <w:r>
              <w:rPr>
                <w:rFonts w:hint="eastAsia" w:ascii="宋体" w:cs="宋体"/>
                <w:color w:val="auto"/>
              </w:rPr>
              <w:t>文件要求且价格最低的报价为评审基准价，其价格分为满分。其他响应供应商的价格分统一按照下列公式计算：</w:t>
            </w:r>
          </w:p>
          <w:p w14:paraId="1DFD3F13">
            <w:pPr>
              <w:widowControl/>
              <w:spacing w:before="48" w:beforeLines="20" w:line="312" w:lineRule="auto"/>
              <w:rPr>
                <w:rFonts w:ascii="宋体" w:cs="宋体"/>
                <w:color w:val="auto"/>
              </w:rPr>
            </w:pPr>
            <w:r>
              <w:rPr>
                <w:rFonts w:hint="eastAsia" w:ascii="宋体" w:cs="宋体"/>
                <w:color w:val="auto"/>
              </w:rPr>
              <w:t>报价得分=(评审基准价／报价)×100×权重</w:t>
            </w:r>
          </w:p>
          <w:p w14:paraId="47A4FF33">
            <w:pPr>
              <w:spacing w:before="48" w:beforeLines="20" w:line="312" w:lineRule="auto"/>
              <w:rPr>
                <w:rFonts w:ascii="宋体" w:cs="宋体"/>
                <w:color w:val="auto"/>
              </w:rPr>
            </w:pPr>
          </w:p>
        </w:tc>
        <w:tc>
          <w:tcPr>
            <w:tcW w:w="389" w:type="pct"/>
            <w:tcBorders>
              <w:tl2br w:val="nil"/>
              <w:tr2bl w:val="nil"/>
            </w:tcBorders>
            <w:vAlign w:val="center"/>
          </w:tcPr>
          <w:p w14:paraId="082D9B7E">
            <w:pPr>
              <w:ind w:left="-78" w:leftChars="-37" w:right="-73" w:rightChars="-35"/>
              <w:jc w:val="center"/>
              <w:rPr>
                <w:rFonts w:ascii="宋体" w:cs="宋体"/>
                <w:color w:val="auto"/>
              </w:rPr>
            </w:pPr>
            <w:r>
              <w:rPr>
                <w:rFonts w:hint="eastAsia" w:ascii="宋体" w:cs="宋体"/>
                <w:color w:val="auto"/>
              </w:rPr>
              <w:t xml:space="preserve">20% </w:t>
            </w:r>
          </w:p>
        </w:tc>
        <w:tc>
          <w:tcPr>
            <w:tcW w:w="467" w:type="pct"/>
            <w:tcBorders>
              <w:tl2br w:val="nil"/>
              <w:tr2bl w:val="nil"/>
            </w:tcBorders>
            <w:vAlign w:val="center"/>
          </w:tcPr>
          <w:p w14:paraId="23820D15">
            <w:pPr>
              <w:ind w:left="-78" w:leftChars="-37" w:right="-73" w:rightChars="-35"/>
              <w:jc w:val="center"/>
              <w:rPr>
                <w:rFonts w:ascii="宋体" w:cs="宋体"/>
                <w:color w:val="auto"/>
              </w:rPr>
            </w:pPr>
            <w:r>
              <w:rPr>
                <w:rFonts w:hint="eastAsia" w:ascii="宋体" w:cs="宋体"/>
                <w:color w:val="auto"/>
              </w:rPr>
              <w:t>20分</w:t>
            </w:r>
          </w:p>
        </w:tc>
      </w:tr>
      <w:tr w14:paraId="701F05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4142" w:type="pct"/>
            <w:gridSpan w:val="3"/>
            <w:tcBorders>
              <w:tl2br w:val="nil"/>
              <w:tr2bl w:val="nil"/>
            </w:tcBorders>
            <w:vAlign w:val="center"/>
          </w:tcPr>
          <w:p w14:paraId="3E13BC6F">
            <w:pPr>
              <w:ind w:left="-78" w:leftChars="-37" w:right="-73" w:rightChars="-35"/>
              <w:jc w:val="center"/>
              <w:rPr>
                <w:rFonts w:ascii="宋体" w:cs="宋体"/>
                <w:color w:val="auto"/>
              </w:rPr>
            </w:pPr>
            <w:r>
              <w:rPr>
                <w:rFonts w:hint="eastAsia" w:ascii="宋体" w:cs="宋体"/>
                <w:color w:val="auto"/>
              </w:rPr>
              <w:t>合计</w:t>
            </w:r>
          </w:p>
        </w:tc>
        <w:tc>
          <w:tcPr>
            <w:tcW w:w="389" w:type="pct"/>
            <w:tcBorders>
              <w:tl2br w:val="nil"/>
              <w:tr2bl w:val="nil"/>
            </w:tcBorders>
            <w:vAlign w:val="center"/>
          </w:tcPr>
          <w:p w14:paraId="4DC6AD92">
            <w:pPr>
              <w:ind w:left="-78" w:leftChars="-37" w:right="-73" w:rightChars="-35"/>
              <w:jc w:val="center"/>
              <w:rPr>
                <w:rFonts w:ascii="宋体" w:cs="宋体"/>
                <w:color w:val="auto"/>
              </w:rPr>
            </w:pPr>
            <w:r>
              <w:rPr>
                <w:rFonts w:hint="eastAsia" w:ascii="宋体" w:cs="宋体"/>
                <w:color w:val="auto"/>
              </w:rPr>
              <w:t xml:space="preserve">100% </w:t>
            </w:r>
          </w:p>
        </w:tc>
        <w:tc>
          <w:tcPr>
            <w:tcW w:w="467" w:type="pct"/>
            <w:tcBorders>
              <w:tl2br w:val="nil"/>
              <w:tr2bl w:val="nil"/>
            </w:tcBorders>
            <w:vAlign w:val="center"/>
          </w:tcPr>
          <w:p w14:paraId="411FC67F">
            <w:pPr>
              <w:ind w:left="-78" w:leftChars="-37" w:right="-73" w:rightChars="-35"/>
              <w:jc w:val="center"/>
              <w:rPr>
                <w:rFonts w:ascii="宋体" w:cs="宋体"/>
                <w:color w:val="auto"/>
              </w:rPr>
            </w:pPr>
            <w:r>
              <w:rPr>
                <w:rFonts w:hint="eastAsia" w:ascii="宋体" w:cs="宋体"/>
                <w:color w:val="auto"/>
              </w:rPr>
              <w:t>100分</w:t>
            </w:r>
          </w:p>
        </w:tc>
      </w:tr>
    </w:tbl>
    <w:p w14:paraId="3588E80C">
      <w:pPr>
        <w:spacing w:before="120" w:after="120" w:line="360" w:lineRule="auto"/>
        <w:ind w:firstLine="560" w:firstLineChars="200"/>
        <w:jc w:val="left"/>
        <w:rPr>
          <w:rFonts w:hint="default" w:ascii="Times New Roman" w:hAnsi="Times New Roman" w:eastAsia="宋体" w:cs="Times New Roman"/>
          <w:color w:val="000000"/>
          <w:sz w:val="28"/>
          <w:szCs w:val="28"/>
          <w:lang w:val="en-US" w:eastAsia="zh-CN"/>
        </w:rPr>
      </w:pPr>
    </w:p>
    <w:p w14:paraId="2A8E7690">
      <w:pPr>
        <w:spacing w:before="120" w:after="120" w:line="288" w:lineRule="auto"/>
        <w:jc w:val="left"/>
        <w:outlineLvl w:val="3"/>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2、服务要求</w:t>
      </w:r>
    </w:p>
    <w:p w14:paraId="7CD7CBD7">
      <w:pPr>
        <w:spacing w:before="120" w:after="120" w:line="360" w:lineRule="auto"/>
        <w:ind w:firstLine="280" w:firstLineChars="1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（1）提供设备安装、调试、配置等技术服务，确保系统正常运行。</w:t>
      </w:r>
    </w:p>
    <w:p w14:paraId="3ECBC993">
      <w:pPr>
        <w:spacing w:before="120" w:after="120" w:line="360" w:lineRule="auto"/>
        <w:ind w:firstLine="280" w:firstLineChars="1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（2）提供至少3年的设备质保及技术支持服务，包括故障排查、维修、升级等。</w:t>
      </w:r>
    </w:p>
    <w:p w14:paraId="5B1546A9">
      <w:pPr>
        <w:spacing w:before="120" w:after="120" w:line="360" w:lineRule="auto"/>
        <w:ind w:firstLine="280" w:firstLineChars="1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（3）提供存储系统使用培训服务，确保医院技术人员能够熟练操作和管理。</w:t>
      </w:r>
    </w:p>
    <w:p w14:paraId="21F95ECA">
      <w:pPr>
        <w:spacing w:before="120" w:after="120" w:line="288" w:lineRule="auto"/>
        <w:jc w:val="left"/>
        <w:rPr>
          <w:rFonts w:hint="default" w:ascii="Times New Roman" w:hAnsi="Times New Roman" w:eastAsia="宋体" w:cs="Times New Roman"/>
        </w:rPr>
      </w:pPr>
    </w:p>
    <w:p w14:paraId="1726449B">
      <w:pPr>
        <w:spacing w:before="320" w:after="120" w:line="288" w:lineRule="auto"/>
        <w:jc w:val="left"/>
        <w:outlineLvl w:val="1"/>
        <w:rPr>
          <w:rFonts w:hint="default" w:ascii="Times New Roman" w:hAnsi="Times New Roman" w:eastAsia="宋体" w:cs="Times New Roman"/>
        </w:rPr>
      </w:pPr>
      <w:bookmarkStart w:id="8" w:name="heading_8"/>
      <w:r>
        <w:rPr>
          <w:rFonts w:hint="default" w:ascii="Times New Roman" w:hAnsi="Times New Roman" w:eastAsia="宋体" w:cs="Times New Roman"/>
          <w:b/>
          <w:sz w:val="32"/>
        </w:rPr>
        <w:t>六、报价要求</w:t>
      </w:r>
      <w:bookmarkEnd w:id="8"/>
    </w:p>
    <w:p w14:paraId="7D31B1CF">
      <w:pPr>
        <w:spacing w:before="120" w:after="120" w:line="360"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供应商需提供详细的设备报价清单，包括硬盘、硬盘扩展柜、存储服务器等设备的单价、数量、总价，以及技术服务费用等。</w:t>
      </w:r>
    </w:p>
    <w:p w14:paraId="225B96A2">
      <w:pPr>
        <w:spacing w:before="320" w:after="120" w:line="288" w:lineRule="auto"/>
        <w:jc w:val="left"/>
        <w:outlineLvl w:val="1"/>
        <w:rPr>
          <w:rFonts w:hint="default" w:ascii="Times New Roman" w:hAnsi="Times New Roman" w:eastAsia="宋体" w:cs="Times New Roman"/>
        </w:rPr>
      </w:pPr>
      <w:bookmarkStart w:id="9" w:name="heading_9"/>
      <w:r>
        <w:rPr>
          <w:rFonts w:hint="default" w:ascii="Times New Roman" w:hAnsi="Times New Roman" w:eastAsia="宋体" w:cs="Times New Roman"/>
          <w:b/>
          <w:sz w:val="32"/>
        </w:rPr>
        <w:t>七、其他</w:t>
      </w:r>
      <w:bookmarkEnd w:id="9"/>
    </w:p>
    <w:p w14:paraId="6C3B7419">
      <w:pPr>
        <w:spacing w:before="120" w:after="120" w:line="288" w:lineRule="auto"/>
        <w:ind w:firstLine="560" w:firstLineChars="200"/>
        <w:jc w:val="lef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本采购需求书未尽事宜，可在后续沟通中进一步明确。</w:t>
      </w: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6B0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2A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C3DD1"/>
    <w:multiLevelType w:val="singleLevel"/>
    <w:tmpl w:val="A1CC3DD1"/>
    <w:lvl w:ilvl="0" w:tentative="0">
      <w:start w:val="3"/>
      <w:numFmt w:val="decimal"/>
      <w:suff w:val="nothing"/>
      <w:lvlText w:val="（%1）"/>
      <w:lvlJc w:val="left"/>
    </w:lvl>
  </w:abstractNum>
  <w:abstractNum w:abstractNumId="1">
    <w:nsid w:val="FA9D86D2"/>
    <w:multiLevelType w:val="singleLevel"/>
    <w:tmpl w:val="FA9D86D2"/>
    <w:lvl w:ilvl="0" w:tentative="0">
      <w:start w:val="1"/>
      <w:numFmt w:val="decimal"/>
      <w:suff w:val="nothing"/>
      <w:lvlText w:val="%1、"/>
      <w:lvlJc w:val="left"/>
    </w:lvl>
  </w:abstractNum>
  <w:abstractNum w:abstractNumId="2">
    <w:nsid w:val="6C73457C"/>
    <w:multiLevelType w:val="multilevel"/>
    <w:tmpl w:val="6C73457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3"/>
    <w:rsid w:val="00051791"/>
    <w:rsid w:val="003E41A3"/>
    <w:rsid w:val="005811CD"/>
    <w:rsid w:val="005D166D"/>
    <w:rsid w:val="007C4D38"/>
    <w:rsid w:val="00842DE0"/>
    <w:rsid w:val="00875C32"/>
    <w:rsid w:val="009F1597"/>
    <w:rsid w:val="00B4330B"/>
    <w:rsid w:val="00CE2A2C"/>
    <w:rsid w:val="00D5150B"/>
    <w:rsid w:val="00F31C49"/>
    <w:rsid w:val="00FA3807"/>
    <w:rsid w:val="046863FD"/>
    <w:rsid w:val="05D10D68"/>
    <w:rsid w:val="08916BDA"/>
    <w:rsid w:val="0B883C79"/>
    <w:rsid w:val="101B2083"/>
    <w:rsid w:val="1264785B"/>
    <w:rsid w:val="148C43EA"/>
    <w:rsid w:val="15244FBD"/>
    <w:rsid w:val="1C9252BF"/>
    <w:rsid w:val="224240C3"/>
    <w:rsid w:val="23E634F2"/>
    <w:rsid w:val="25852068"/>
    <w:rsid w:val="27FE7E95"/>
    <w:rsid w:val="2BC255A9"/>
    <w:rsid w:val="2E344345"/>
    <w:rsid w:val="2F942528"/>
    <w:rsid w:val="31176D26"/>
    <w:rsid w:val="32F761BF"/>
    <w:rsid w:val="33A15DF5"/>
    <w:rsid w:val="34CF7BB0"/>
    <w:rsid w:val="35A136FA"/>
    <w:rsid w:val="36A61AED"/>
    <w:rsid w:val="39926B26"/>
    <w:rsid w:val="3AD46469"/>
    <w:rsid w:val="3AE179DA"/>
    <w:rsid w:val="3F6A4F7C"/>
    <w:rsid w:val="46D70238"/>
    <w:rsid w:val="47507FEA"/>
    <w:rsid w:val="491B3D70"/>
    <w:rsid w:val="52845B17"/>
    <w:rsid w:val="5295394A"/>
    <w:rsid w:val="592D37E6"/>
    <w:rsid w:val="5A1F3E49"/>
    <w:rsid w:val="5B053277"/>
    <w:rsid w:val="5C08232A"/>
    <w:rsid w:val="5C2E2250"/>
    <w:rsid w:val="624A6E22"/>
    <w:rsid w:val="63F928DC"/>
    <w:rsid w:val="64F97EB2"/>
    <w:rsid w:val="65944411"/>
    <w:rsid w:val="694A1047"/>
    <w:rsid w:val="6B4C0980"/>
    <w:rsid w:val="74853F0B"/>
    <w:rsid w:val="75075D37"/>
    <w:rsid w:val="78BA58CA"/>
    <w:rsid w:val="7CA32DAF"/>
    <w:rsid w:val="7D442A91"/>
    <w:rsid w:val="7E50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autoSpaceDN/>
      <w:adjustRightInd/>
      <w:spacing w:after="120"/>
      <w:jc w:val="both"/>
    </w:pPr>
    <w:rPr>
      <w:kern w:val="2"/>
      <w:szCs w:val="24"/>
    </w:rPr>
  </w:style>
  <w:style w:type="paragraph" w:styleId="3">
    <w:name w:val="annotation text"/>
    <w:basedOn w:val="1"/>
    <w:qFormat/>
    <w:uiPriority w:val="0"/>
    <w:pPr>
      <w:jc w:val="left"/>
    </w:pPr>
  </w:style>
  <w:style w:type="paragraph" w:styleId="4">
    <w:name w:val="Balloon Text"/>
    <w:basedOn w:val="1"/>
    <w:link w:val="9"/>
    <w:qFormat/>
    <w:uiPriority w:val="0"/>
    <w:rPr>
      <w:rFonts w:ascii="宋体" w:eastAsia="宋体"/>
      <w:sz w:val="18"/>
      <w:szCs w:val="18"/>
    </w:rPr>
  </w:style>
  <w:style w:type="character" w:styleId="7">
    <w:name w:val="annotation reference"/>
    <w:basedOn w:val="6"/>
    <w:qFormat/>
    <w:uiPriority w:val="0"/>
    <w:rPr>
      <w:sz w:val="21"/>
      <w:szCs w:val="21"/>
    </w:rPr>
  </w:style>
  <w:style w:type="paragraph" w:customStyle="1" w:styleId="8">
    <w:name w:val="列出段落6"/>
    <w:basedOn w:val="1"/>
    <w:qFormat/>
    <w:uiPriority w:val="99"/>
    <w:pPr>
      <w:ind w:firstLine="420" w:firstLineChars="200"/>
    </w:pPr>
    <w:rPr>
      <w:rFonts w:ascii="Times New Roman" w:hAnsi="Times New Roman" w:eastAsia="宋体" w:cs="Times New Roman"/>
      <w:kern w:val="2"/>
      <w:szCs w:val="24"/>
    </w:rPr>
  </w:style>
  <w:style w:type="character" w:customStyle="1" w:styleId="9">
    <w:name w:val="批注框文本 字符"/>
    <w:basedOn w:val="6"/>
    <w:link w:val="4"/>
    <w:qFormat/>
    <w:uiPriority w:val="0"/>
    <w:rPr>
      <w:rFonts w:ascii="宋体" w:hAnsiTheme="minorHAnsi" w:cstheme="minorBidi"/>
      <w:sz w:val="18"/>
      <w:szCs w:val="18"/>
    </w:rPr>
  </w:style>
  <w:style w:type="paragraph" w:customStyle="1" w:styleId="10">
    <w:name w:val="列出段落1"/>
    <w:basedOn w:val="1"/>
    <w:autoRedefine/>
    <w:qFormat/>
    <w:uiPriority w:val="0"/>
    <w:pPr>
      <w:autoSpaceDE/>
      <w:autoSpaceDN/>
      <w:adjustRightInd/>
      <w:ind w:firstLine="200" w:firstLineChars="200"/>
      <w:jc w:val="both"/>
    </w:pPr>
    <w:rPr>
      <w:rFonts w:eastAsia="黑体"/>
      <w:bCs/>
      <w:kern w:val="2"/>
      <w:sz w:val="30"/>
      <w:szCs w:val="30"/>
    </w:rPr>
  </w:style>
  <w:style w:type="paragraph" w:customStyle="1" w:styleId="11">
    <w:name w:val="null3"/>
    <w:autoRedefine/>
    <w:qFormat/>
    <w:uiPriority w:val="0"/>
    <w:rPr>
      <w:rFonts w:ascii="Calibri" w:hAnsi="Calibri" w:eastAsia="宋体" w:cs="Arial"/>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1851</Words>
  <Characters>2079</Characters>
  <Lines>23</Lines>
  <Paragraphs>6</Paragraphs>
  <TotalTime>19</TotalTime>
  <ScaleCrop>false</ScaleCrop>
  <LinksUpToDate>false</LinksUpToDate>
  <CharactersWithSpaces>2097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2025-11-10T01:52:00Z</dcterms:created>
  <dc:creator>Apache POI</dc:creator>
  <cp:lastModifiedBy>huaogue</cp:lastModifiedBy>
  <dcterms:modified xsi:type="dcterms:W3CDTF">2025-11-25T01:21:28Z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eyJoZGlkIjoiZGFiNTBkOTdmYTViOTk4NmUyNjI4YmM0NTVkZTk1ZmIiLCJ1c2VySWQiOiI0MzY1MjM0MjEifQ==</vt:lpwstr>
  </property>
  <property fmtid="{D5CDD505-2E9C-101B-9397-08002B2CF9AE}" pid="3" name="KSOProductBuildVer">
    <vt:lpwstr>2052-12.1.0.22525</vt:lpwstr>
  </property>
  <property fmtid="{D5CDD505-2E9C-101B-9397-08002B2CF9AE}" pid="4" name="ICV">
    <vt:lpwstr>D1E09F5CB7344D939A8D1818E24EAEE4_13</vt:lpwstr>
  </property>
</Properties>
</file>